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0.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21.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22.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23.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24.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25.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26.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95B7" w14:textId="77777777" w:rsidR="00AE53A0" w:rsidRDefault="00A01113" w:rsidP="00F8132E">
      <w:pPr>
        <w:pStyle w:val="Title"/>
        <w:tabs>
          <w:tab w:val="left" w:pos="1440"/>
          <w:tab w:val="left" w:pos="5760"/>
        </w:tabs>
        <w:ind w:firstLine="360"/>
        <w:jc w:val="center"/>
      </w:pPr>
      <w:r>
        <w:t>Optimization</w:t>
      </w:r>
      <w:r w:rsidR="00673507">
        <w:t>-based Mechanis</w:t>
      </w:r>
      <w:r>
        <w:t xml:space="preserve">ms for the </w:t>
      </w:r>
      <w:r w:rsidR="007B7515">
        <w:t>Course Allocation</w:t>
      </w:r>
      <w:r w:rsidR="00AA4FCF">
        <w:t xml:space="preserve"> Problem</w:t>
      </w:r>
    </w:p>
    <w:p w14:paraId="0F6031C7" w14:textId="487A5B41" w:rsidR="00334019" w:rsidRDefault="00AE53A0" w:rsidP="00F8132E">
      <w:pPr>
        <w:pStyle w:val="Title"/>
        <w:tabs>
          <w:tab w:val="left" w:pos="1440"/>
          <w:tab w:val="left" w:pos="5760"/>
        </w:tabs>
        <w:ind w:firstLine="360"/>
        <w:jc w:val="center"/>
      </w:pPr>
      <w:r>
        <w:t>Online Supplement</w:t>
      </w:r>
    </w:p>
    <w:p w14:paraId="487BADE2" w14:textId="77777777" w:rsidR="00AE53A0" w:rsidRPr="00AE53A0" w:rsidRDefault="00AE53A0" w:rsidP="00AE53A0"/>
    <w:p w14:paraId="70704852" w14:textId="77777777" w:rsidR="00683FC2" w:rsidRDefault="00683FC2" w:rsidP="00F8132E">
      <w:pPr>
        <w:tabs>
          <w:tab w:val="left" w:pos="1440"/>
          <w:tab w:val="left" w:pos="5760"/>
        </w:tabs>
        <w:contextualSpacing/>
      </w:pPr>
    </w:p>
    <w:p w14:paraId="2443242F" w14:textId="1C2296A7" w:rsidR="00190979" w:rsidRDefault="009A51EE" w:rsidP="009A51EE">
      <w:pPr>
        <w:pStyle w:val="Heading2"/>
        <w:tabs>
          <w:tab w:val="left" w:pos="1440"/>
          <w:tab w:val="left" w:pos="5760"/>
        </w:tabs>
        <w:contextualSpacing/>
      </w:pPr>
      <w:bookmarkStart w:id="0" w:name="_Appendix_A._Pareto"/>
      <w:bookmarkStart w:id="1" w:name="_Appendix_B._Market"/>
      <w:bookmarkEnd w:id="0"/>
      <w:bookmarkEnd w:id="1"/>
      <w:r>
        <w:rPr>
          <w:b/>
          <w:bCs/>
          <w:iCs/>
          <w:color w:val="4F81BD" w:themeColor="accent1"/>
          <w:sz w:val="28"/>
          <w:szCs w:val="28"/>
        </w:rPr>
        <w:t xml:space="preserve">Appendix A. </w:t>
      </w:r>
      <w:r w:rsidRPr="009A51EE">
        <w:rPr>
          <w:b/>
          <w:bCs/>
          <w:iCs/>
          <w:color w:val="4F81BD" w:themeColor="accent1"/>
          <w:sz w:val="28"/>
          <w:szCs w:val="28"/>
        </w:rPr>
        <w:t>Market simulation details for the efficiency and the fairness results</w:t>
      </w:r>
    </w:p>
    <w:p w14:paraId="46F1D5B8" w14:textId="4F7A2212" w:rsidR="000959C2" w:rsidRDefault="002F50C6" w:rsidP="00F8132E">
      <w:pPr>
        <w:tabs>
          <w:tab w:val="left" w:pos="1440"/>
          <w:tab w:val="left" w:pos="5760"/>
        </w:tabs>
        <w:ind w:firstLine="360"/>
        <w:contextualSpacing/>
        <w:rPr>
          <w:rFonts w:cstheme="minorHAnsi"/>
        </w:rPr>
      </w:pPr>
      <w:r>
        <w:rPr>
          <w:rFonts w:cstheme="minorHAnsi"/>
        </w:rPr>
        <w:t>W</w:t>
      </w:r>
      <w:r w:rsidR="006212F9" w:rsidRPr="00190979">
        <w:rPr>
          <w:rFonts w:cstheme="minorHAnsi"/>
        </w:rPr>
        <w:t xml:space="preserve">e assume that </w:t>
      </w:r>
      <w:r w:rsidR="006212F9">
        <w:rPr>
          <w:rFonts w:cstheme="minorHAnsi"/>
        </w:rPr>
        <w:t xml:space="preserve">the value of each course for each student is the combination of </w:t>
      </w:r>
      <w:r w:rsidR="00EF3F0B">
        <w:rPr>
          <w:rFonts w:cstheme="minorHAnsi"/>
        </w:rPr>
        <w:t xml:space="preserve">a </w:t>
      </w:r>
      <w:r w:rsidR="006212F9">
        <w:rPr>
          <w:rFonts w:cstheme="minorHAnsi"/>
        </w:rPr>
        <w:t>field</w:t>
      </w:r>
      <w:r>
        <w:rPr>
          <w:rFonts w:cstheme="minorHAnsi"/>
        </w:rPr>
        <w:t>-</w:t>
      </w:r>
      <w:r w:rsidR="00F321AD">
        <w:rPr>
          <w:rFonts w:cstheme="minorHAnsi"/>
        </w:rPr>
        <w:t>s</w:t>
      </w:r>
      <w:r>
        <w:rPr>
          <w:rFonts w:cstheme="minorHAnsi"/>
        </w:rPr>
        <w:t xml:space="preserve">pecific value for </w:t>
      </w:r>
      <w:r w:rsidR="00DE280C">
        <w:rPr>
          <w:rFonts w:cstheme="minorHAnsi"/>
        </w:rPr>
        <w:t xml:space="preserve">course belonging to </w:t>
      </w:r>
      <w:r>
        <w:rPr>
          <w:rFonts w:cstheme="minorHAnsi"/>
        </w:rPr>
        <w:t>the field</w:t>
      </w:r>
      <w:r w:rsidR="00F321AD">
        <w:rPr>
          <w:rFonts w:cstheme="minorHAnsi"/>
        </w:rPr>
        <w:t xml:space="preserve"> </w:t>
      </w:r>
      <w:r w:rsidR="00DE280C">
        <w:rPr>
          <w:rFonts w:cstheme="minorHAnsi"/>
        </w:rPr>
        <w:t>(</w:t>
      </w:r>
      <w:r w:rsidR="00573E88">
        <w:rPr>
          <w:rFonts w:cstheme="minorHAnsi"/>
        </w:rPr>
        <w:t xml:space="preserve">or </w:t>
      </w:r>
      <w:r w:rsidR="00DE280C">
        <w:rPr>
          <w:rFonts w:cstheme="minorHAnsi"/>
        </w:rPr>
        <w:t>major plan of study)</w:t>
      </w:r>
      <w:r w:rsidR="00FC3B55">
        <w:rPr>
          <w:rFonts w:cstheme="minorHAnsi"/>
        </w:rPr>
        <w:t>,</w:t>
      </w:r>
      <w:r>
        <w:rPr>
          <w:rFonts w:cstheme="minorHAnsi"/>
        </w:rPr>
        <w:t xml:space="preserve"> plus</w:t>
      </w:r>
      <w:r w:rsidR="006212F9">
        <w:rPr>
          <w:rFonts w:cstheme="minorHAnsi"/>
        </w:rPr>
        <w:t xml:space="preserve"> </w:t>
      </w:r>
      <w:r w:rsidR="00F50D58">
        <w:rPr>
          <w:rFonts w:cstheme="minorHAnsi"/>
        </w:rPr>
        <w:t>an independent</w:t>
      </w:r>
      <w:r w:rsidR="006212F9">
        <w:rPr>
          <w:rFonts w:cstheme="minorHAnsi"/>
        </w:rPr>
        <w:t xml:space="preserve"> course value</w:t>
      </w:r>
      <w:r w:rsidR="00F50D58">
        <w:rPr>
          <w:rFonts w:cstheme="minorHAnsi"/>
        </w:rPr>
        <w:t xml:space="preserve"> for </w:t>
      </w:r>
      <w:r w:rsidR="00410E27">
        <w:rPr>
          <w:rFonts w:cstheme="minorHAnsi"/>
        </w:rPr>
        <w:t>the</w:t>
      </w:r>
      <w:r w:rsidR="00F50D58">
        <w:rPr>
          <w:rFonts w:cstheme="minorHAnsi"/>
        </w:rPr>
        <w:t xml:space="preserve"> student</w:t>
      </w:r>
      <w:r w:rsidR="00410E27">
        <w:rPr>
          <w:rFonts w:cstheme="minorHAnsi"/>
        </w:rPr>
        <w:t xml:space="preserve">. </w:t>
      </w:r>
      <w:r w:rsidR="00573E88">
        <w:rPr>
          <w:rFonts w:cstheme="minorHAnsi"/>
        </w:rPr>
        <w:t xml:space="preserve">This setup tends toward correlated preferences among students according to their interest in a field/major </w:t>
      </w:r>
      <w:proofErr w:type="gramStart"/>
      <w:r w:rsidR="00573E88">
        <w:rPr>
          <w:rFonts w:cstheme="minorHAnsi"/>
        </w:rPr>
        <w:t xml:space="preserve">denoted </w:t>
      </w:r>
      <w:proofErr w:type="gramEnd"/>
      <m:oMath>
        <m:r>
          <w:rPr>
            <w:rFonts w:ascii="Cambria Math" w:hAnsi="Cambria Math" w:cstheme="minorHAnsi"/>
          </w:rPr>
          <m:t>f</m:t>
        </m:r>
      </m:oMath>
      <w:r w:rsidR="00573E88">
        <w:rPr>
          <w:rFonts w:cstheme="minorHAnsi"/>
        </w:rPr>
        <w:t xml:space="preserve">. </w:t>
      </w:r>
      <w:r w:rsidR="00410E27">
        <w:rPr>
          <w:rFonts w:cstheme="minorHAnsi"/>
        </w:rPr>
        <w:t>Therefore,</w:t>
      </w:r>
      <w:r w:rsidR="00573E88">
        <w:rPr>
          <w:rFonts w:cstheme="minorHAnsi"/>
        </w:rPr>
        <w:t xml:space="preserve"> a value</w:t>
      </w:r>
      <w:r w:rsidR="00410E27">
        <w:rPr>
          <w:rFonts w:cstheme="minorHAnsi"/>
        </w:rPr>
        <w:t xml:space="preserve"> </w:t>
      </w:r>
      <m:oMath>
        <m:sSub>
          <m:sSubPr>
            <m:ctrlPr>
              <w:rPr>
                <w:rFonts w:ascii="Cambria Math" w:hAnsi="Cambria Math" w:cstheme="minorHAnsi"/>
              </w:rPr>
            </m:ctrlPr>
          </m:sSubPr>
          <m:e>
            <m:r>
              <w:rPr>
                <w:rFonts w:ascii="Cambria Math" w:hAnsi="Cambria Math" w:cstheme="minorHAnsi"/>
              </w:rPr>
              <m:t>V</m:t>
            </m:r>
          </m:e>
          <m:sub>
            <m:r>
              <w:rPr>
                <w:rFonts w:ascii="Cambria Math" w:hAnsi="Cambria Math" w:cstheme="minorHAnsi"/>
              </w:rPr>
              <m:t>ij'</m:t>
            </m:r>
          </m:sub>
        </m:sSub>
        <m:r>
          <m:rPr>
            <m:sty m:val="p"/>
          </m:rPr>
          <w:rPr>
            <w:rFonts w:ascii="Cambria Math" w:hAnsi="Cambria Math" w:cstheme="minorHAnsi"/>
          </w:rPr>
          <m:t>=</m:t>
        </m:r>
        <m:nary>
          <m:naryPr>
            <m:chr m:val="∑"/>
            <m:limLoc m:val="undOvr"/>
            <m:supHide m:val="1"/>
            <m:ctrlPr>
              <w:rPr>
                <w:rFonts w:ascii="Cambria Math" w:hAnsi="Cambria Math" w:cstheme="minorHAnsi"/>
              </w:rPr>
            </m:ctrlPr>
          </m:naryPr>
          <m:sub>
            <m:r>
              <m:rPr>
                <m:sty m:val="p"/>
              </m:rPr>
              <w:rPr>
                <w:rFonts w:ascii="Cambria Math" w:hAnsi="Cambria Math" w:cstheme="minorHAnsi"/>
              </w:rPr>
              <m:t>[∀</m:t>
            </m:r>
            <m:r>
              <w:rPr>
                <w:rFonts w:ascii="Cambria Math" w:hAnsi="Cambria Math" w:cstheme="minorHAnsi"/>
              </w:rPr>
              <m:t>f</m:t>
            </m:r>
            <m:r>
              <m:rPr>
                <m:sty m:val="p"/>
              </m:rPr>
              <w:rPr>
                <w:rFonts w:ascii="Cambria Math" w:hAnsi="Cambria Math" w:cstheme="minorHAnsi"/>
              </w:rPr>
              <m:t>:</m:t>
            </m:r>
            <m:sSup>
              <m:sSupPr>
                <m:ctrlPr>
                  <w:rPr>
                    <w:rFonts w:ascii="Cambria Math" w:hAnsi="Cambria Math" w:cstheme="minorHAnsi"/>
                    <w:i/>
                  </w:rPr>
                </m:ctrlPr>
              </m:sSupPr>
              <m:e>
                <m:r>
                  <w:rPr>
                    <w:rFonts w:ascii="Cambria Math" w:hAnsi="Cambria Math" w:cstheme="minorHAnsi"/>
                  </w:rPr>
                  <m:t>j</m:t>
                </m:r>
                <m:ctrlPr>
                  <w:rPr>
                    <w:rFonts w:ascii="Cambria Math" w:hAnsi="Cambria Math" w:cstheme="minorHAnsi"/>
                  </w:rPr>
                </m:ctrlPr>
              </m:e>
              <m:sup>
                <m:r>
                  <w:rPr>
                    <w:rFonts w:ascii="Cambria Math" w:hAnsi="Cambria Math" w:cstheme="minorHAnsi"/>
                  </w:rPr>
                  <m:t>'</m:t>
                </m:r>
              </m:sup>
            </m:sSup>
            <m:r>
              <m:rPr>
                <m:sty m:val="p"/>
              </m:rPr>
              <w:rPr>
                <w:rFonts w:ascii="Cambria Math" w:hAnsi="Cambria Math" w:cstheme="minorHAnsi"/>
              </w:rPr>
              <m:t>∊</m:t>
            </m:r>
            <m:r>
              <w:rPr>
                <w:rFonts w:ascii="Cambria Math" w:hAnsi="Cambria Math" w:cstheme="minorHAnsi"/>
              </w:rPr>
              <m:t>f]</m:t>
            </m:r>
          </m:sub>
          <m:sup/>
          <m:e>
            <m:sSub>
              <m:sSubPr>
                <m:ctrlPr>
                  <w:rPr>
                    <w:rFonts w:ascii="Cambria Math" w:hAnsi="Cambria Math" w:cstheme="minorHAnsi"/>
                  </w:rPr>
                </m:ctrlPr>
              </m:sSubPr>
              <m:e>
                <m:r>
                  <w:rPr>
                    <w:rFonts w:ascii="Cambria Math" w:hAnsi="Cambria Math" w:cstheme="minorHAnsi"/>
                  </w:rPr>
                  <m:t>α</m:t>
                </m:r>
              </m:e>
              <m:sub>
                <m:r>
                  <w:rPr>
                    <w:rFonts w:ascii="Cambria Math" w:hAnsi="Cambria Math" w:cstheme="minorHAnsi"/>
                  </w:rPr>
                  <m:t>fj'</m:t>
                </m:r>
              </m:sub>
            </m:sSub>
          </m:e>
        </m:nary>
        <m:r>
          <m:rPr>
            <m:sty m:val="p"/>
          </m:rPr>
          <w:rPr>
            <w:rFonts w:ascii="Cambria Math" w:hAnsi="Cambria Math" w:cstheme="minorHAnsi"/>
          </w:rPr>
          <m:t xml:space="preserve">+ </m:t>
        </m:r>
        <m:sSub>
          <m:sSubPr>
            <m:ctrlPr>
              <w:rPr>
                <w:rFonts w:ascii="Cambria Math" w:hAnsi="Cambria Math" w:cstheme="minorHAnsi"/>
              </w:rPr>
            </m:ctrlPr>
          </m:sSubPr>
          <m:e>
            <m:r>
              <w:rPr>
                <w:rFonts w:ascii="Cambria Math" w:hAnsi="Cambria Math" w:cstheme="minorHAnsi"/>
              </w:rPr>
              <m:t>β</m:t>
            </m:r>
          </m:e>
          <m:sub>
            <m:r>
              <w:rPr>
                <w:rFonts w:ascii="Cambria Math" w:hAnsi="Cambria Math" w:cstheme="minorHAnsi"/>
              </w:rPr>
              <m:t>ij'</m:t>
            </m:r>
          </m:sub>
        </m:sSub>
      </m:oMath>
      <w:r w:rsidR="00573E88">
        <w:rPr>
          <w:rFonts w:eastAsiaTheme="minorEastAsia" w:cstheme="minorHAnsi"/>
        </w:rPr>
        <w:t xml:space="preserve"> is calculated, where </w:t>
      </w:r>
      <w:r w:rsidR="00410E27">
        <w:rPr>
          <w:rFonts w:eastAsiaTheme="minorEastAsia" w:cstheme="minorHAnsi"/>
        </w:rPr>
        <w:t>t</w:t>
      </w:r>
      <w:r w:rsidR="00190979" w:rsidRPr="002B5B5D">
        <w:rPr>
          <w:rFonts w:cstheme="minorHAnsi"/>
        </w:rPr>
        <w:t xml:space="preserve">he value </w:t>
      </w:r>
      <m:oMath>
        <m:sSub>
          <m:sSubPr>
            <m:ctrlPr>
              <w:rPr>
                <w:rFonts w:ascii="Cambria Math" w:hAnsi="Cambria Math" w:cstheme="minorHAnsi"/>
              </w:rPr>
            </m:ctrlPr>
          </m:sSubPr>
          <m:e>
            <m:r>
              <w:rPr>
                <w:rFonts w:ascii="Cambria Math" w:hAnsi="Cambria Math" w:cstheme="minorHAnsi"/>
              </w:rPr>
              <m:t>V</m:t>
            </m:r>
          </m:e>
          <m:sub>
            <m:r>
              <w:rPr>
                <w:rFonts w:ascii="Cambria Math" w:hAnsi="Cambria Math" w:cstheme="minorHAnsi"/>
              </w:rPr>
              <m:t>ij'</m:t>
            </m:r>
          </m:sub>
        </m:sSub>
      </m:oMath>
      <w:r w:rsidR="00573E88">
        <w:rPr>
          <w:rFonts w:cstheme="minorHAnsi"/>
        </w:rPr>
        <w:t xml:space="preserve"> </w:t>
      </w:r>
      <w:r w:rsidR="00190979" w:rsidRPr="002B5B5D">
        <w:rPr>
          <w:rFonts w:cstheme="minorHAnsi"/>
        </w:rPr>
        <w:t xml:space="preserve">of course </w:t>
      </w:r>
      <m:oMath>
        <m:r>
          <w:rPr>
            <w:rFonts w:ascii="Cambria Math" w:hAnsi="Cambria Math" w:cstheme="minorHAnsi"/>
          </w:rPr>
          <m:t>j</m:t>
        </m:r>
        <m:r>
          <m:rPr>
            <m:sty m:val="p"/>
          </m:rPr>
          <w:rPr>
            <w:rFonts w:ascii="Cambria Math" w:hAnsi="Cambria Math" w:cstheme="minorHAnsi"/>
          </w:rPr>
          <m:t>'</m:t>
        </m:r>
      </m:oMath>
      <w:r w:rsidR="00190979" w:rsidRPr="002B5B5D">
        <w:rPr>
          <w:rFonts w:cstheme="minorHAnsi"/>
        </w:rPr>
        <w:t xml:space="preserve"> (considering all </w:t>
      </w:r>
      <w:r w:rsidR="00573E88">
        <w:rPr>
          <w:rFonts w:cstheme="minorHAnsi"/>
        </w:rPr>
        <w:t xml:space="preserve">of </w:t>
      </w:r>
      <w:r w:rsidR="00190979" w:rsidRPr="002B5B5D">
        <w:rPr>
          <w:rFonts w:cstheme="minorHAnsi"/>
        </w:rPr>
        <w:t>its sections) for student</w:t>
      </w:r>
      <m:oMath>
        <m:r>
          <w:rPr>
            <w:rFonts w:ascii="Cambria Math" w:hAnsi="Cambria Math" w:cstheme="minorHAnsi"/>
          </w:rPr>
          <m:t xml:space="preserve"> i</m:t>
        </m:r>
      </m:oMath>
      <w:r w:rsidR="00FC3B55">
        <w:rPr>
          <w:rFonts w:eastAsiaTheme="minorEastAsia" w:cstheme="minorHAnsi"/>
        </w:rPr>
        <w:t xml:space="preserve"> </w:t>
      </w:r>
      <w:r w:rsidR="00410E27">
        <w:rPr>
          <w:rFonts w:eastAsiaTheme="minorEastAsia" w:cstheme="minorHAnsi"/>
        </w:rPr>
        <w:t xml:space="preserve">is defined </w:t>
      </w:r>
      <w:r w:rsidR="00190979" w:rsidRPr="002B5B5D">
        <w:rPr>
          <w:rFonts w:eastAsiaTheme="minorEastAsia" w:cstheme="minorHAnsi"/>
        </w:rPr>
        <w:t xml:space="preserve">equal to </w:t>
      </w:r>
      <m:oMath>
        <m:sSub>
          <m:sSubPr>
            <m:ctrlPr>
              <w:rPr>
                <w:rFonts w:ascii="Cambria Math" w:hAnsi="Cambria Math" w:cstheme="minorHAnsi"/>
              </w:rPr>
            </m:ctrlPr>
          </m:sSubPr>
          <m:e>
            <m:r>
              <w:rPr>
                <w:rFonts w:ascii="Cambria Math" w:hAnsi="Cambria Math" w:cstheme="minorHAnsi"/>
              </w:rPr>
              <m:t>α</m:t>
            </m:r>
          </m:e>
          <m:sub>
            <m:r>
              <w:rPr>
                <w:rFonts w:ascii="Cambria Math" w:hAnsi="Cambria Math" w:cstheme="minorHAnsi"/>
              </w:rPr>
              <m:t>fj</m:t>
            </m:r>
            <m:r>
              <m:rPr>
                <m:sty m:val="p"/>
              </m:rPr>
              <w:rPr>
                <w:rFonts w:ascii="Cambria Math" w:hAnsi="Cambria Math" w:cstheme="minorHAnsi"/>
              </w:rPr>
              <m:t>'</m:t>
            </m:r>
          </m:sub>
        </m:sSub>
        <m:r>
          <w:rPr>
            <w:rFonts w:ascii="Cambria Math" w:eastAsiaTheme="minorEastAsia" w:hAnsi="Cambria Math" w:cstheme="minorHAnsi"/>
          </w:rPr>
          <m:t xml:space="preserve"> </m:t>
        </m:r>
      </m:oMath>
      <w:r w:rsidR="00FC3B55">
        <w:rPr>
          <w:rFonts w:eastAsiaTheme="minorEastAsia" w:cstheme="minorHAnsi"/>
        </w:rPr>
        <w:t xml:space="preserve">which is </w:t>
      </w:r>
      <w:r w:rsidR="00190979" w:rsidRPr="002B5B5D">
        <w:rPr>
          <w:rFonts w:eastAsiaTheme="minorEastAsia" w:cstheme="minorHAnsi"/>
        </w:rPr>
        <w:t>the random order of field</w:t>
      </w:r>
      <m:oMath>
        <m:r>
          <w:rPr>
            <w:rFonts w:ascii="Cambria Math" w:eastAsiaTheme="minorEastAsia" w:hAnsi="Cambria Math" w:cstheme="minorHAnsi"/>
          </w:rPr>
          <m:t xml:space="preserve"> f </m:t>
        </m:r>
      </m:oMath>
      <w:r w:rsidR="00190979" w:rsidRPr="002B5B5D">
        <w:rPr>
          <w:rFonts w:eastAsiaTheme="minorEastAsia" w:cstheme="minorHAnsi"/>
        </w:rPr>
        <w:t xml:space="preserve">for student </w:t>
      </w:r>
      <m:oMath>
        <m:r>
          <w:rPr>
            <w:rFonts w:ascii="Cambria Math" w:eastAsiaTheme="minorEastAsia" w:hAnsi="Cambria Math" w:cstheme="minorHAnsi"/>
          </w:rPr>
          <m:t>i</m:t>
        </m:r>
      </m:oMath>
      <w:r w:rsidR="00190979" w:rsidRPr="002B5B5D">
        <w:rPr>
          <w:rFonts w:eastAsiaTheme="minorEastAsia" w:cstheme="minorHAnsi"/>
        </w:rPr>
        <w:t xml:space="preserve"> multiplied by 5</w:t>
      </w:r>
      <w:r w:rsidR="00F321AD">
        <w:rPr>
          <w:rFonts w:eastAsiaTheme="minorEastAsia" w:cstheme="minorHAnsi"/>
        </w:rPr>
        <w:t xml:space="preserve"> </w:t>
      </w:r>
      <w:r w:rsidR="00190979" w:rsidRPr="002B5B5D">
        <w:rPr>
          <w:rFonts w:eastAsiaTheme="minorEastAsia" w:cstheme="minorHAnsi"/>
        </w:rPr>
        <w:t xml:space="preserve">plus </w:t>
      </w:r>
      <m:oMath>
        <m:sSub>
          <m:sSubPr>
            <m:ctrlPr>
              <w:rPr>
                <w:rFonts w:ascii="Cambria Math" w:hAnsi="Cambria Math" w:cstheme="minorHAnsi"/>
              </w:rPr>
            </m:ctrlPr>
          </m:sSubPr>
          <m:e>
            <m:r>
              <w:rPr>
                <w:rFonts w:ascii="Cambria Math" w:hAnsi="Cambria Math" w:cstheme="minorHAnsi"/>
              </w:rPr>
              <m:t>β</m:t>
            </m:r>
          </m:e>
          <m:sub>
            <m:r>
              <w:rPr>
                <w:rFonts w:ascii="Cambria Math" w:hAnsi="Cambria Math" w:cstheme="minorHAnsi"/>
              </w:rPr>
              <m:t>ij</m:t>
            </m:r>
            <m:r>
              <m:rPr>
                <m:sty m:val="p"/>
              </m:rPr>
              <w:rPr>
                <w:rFonts w:ascii="Cambria Math" w:hAnsi="Cambria Math" w:cstheme="minorHAnsi"/>
              </w:rPr>
              <m:t>'</m:t>
            </m:r>
          </m:sub>
        </m:sSub>
      </m:oMath>
      <w:r w:rsidR="0014707E">
        <w:rPr>
          <w:rFonts w:eastAsiaTheme="minorEastAsia" w:cstheme="minorHAnsi"/>
        </w:rPr>
        <w:t xml:space="preserve"> , </w:t>
      </w:r>
      <w:r w:rsidR="00190979" w:rsidRPr="002B5B5D">
        <w:rPr>
          <w:rFonts w:cstheme="minorHAnsi"/>
        </w:rPr>
        <w:t>a random number drawn from</w:t>
      </w:r>
      <w:r w:rsidR="00573E88">
        <w:rPr>
          <w:rFonts w:cstheme="minorHAnsi"/>
        </w:rPr>
        <w:t xml:space="preserve"> the normal distribution (</w:t>
      </w:r>
      <m:oMath>
        <m:r>
          <w:rPr>
            <w:rFonts w:ascii="Cambria Math" w:hAnsi="Cambria Math" w:cstheme="minorHAnsi"/>
          </w:rPr>
          <m:t>μ</m:t>
        </m:r>
        <m:r>
          <w:rPr>
            <w:rFonts w:ascii="Cambria Math" w:eastAsiaTheme="minorEastAsia" w:hAnsi="Cambria Math" w:cstheme="minorHAnsi"/>
          </w:rPr>
          <m:t>=10</m:t>
        </m:r>
      </m:oMath>
      <w:r w:rsidR="00573E88">
        <w:rPr>
          <w:rFonts w:cstheme="minorHAnsi"/>
        </w:rPr>
        <w:t xml:space="preserve">, </w:t>
      </w:r>
      <m:oMath>
        <m:r>
          <w:rPr>
            <w:rFonts w:ascii="Cambria Math" w:hAnsi="Cambria Math" w:cstheme="minorHAnsi"/>
          </w:rPr>
          <m:t>σ=10</m:t>
        </m:r>
      </m:oMath>
      <w:r w:rsidR="00190979" w:rsidRPr="002B5B5D">
        <w:rPr>
          <w:rFonts w:cstheme="minorHAnsi"/>
        </w:rPr>
        <w:t>).</w:t>
      </w:r>
      <w:r w:rsidR="00F321AD">
        <w:rPr>
          <w:rFonts w:cstheme="minorHAnsi"/>
        </w:rPr>
        <w:t xml:space="preserve"> </w:t>
      </w:r>
    </w:p>
    <w:p w14:paraId="4B9DCAC1" w14:textId="7E1DBF3B" w:rsidR="00410E27" w:rsidRDefault="000959C2" w:rsidP="00F8132E">
      <w:pPr>
        <w:tabs>
          <w:tab w:val="left" w:pos="1440"/>
          <w:tab w:val="left" w:pos="5760"/>
        </w:tabs>
        <w:ind w:firstLine="360"/>
        <w:contextualSpacing/>
        <w:rPr>
          <w:rFonts w:cstheme="minorHAnsi"/>
        </w:rPr>
      </w:pPr>
      <w:r>
        <w:rPr>
          <w:rFonts w:cstheme="minorHAnsi"/>
        </w:rPr>
        <w:t>Then, t</w:t>
      </w:r>
      <w:r w:rsidR="00FC3B55" w:rsidRPr="00B929FD">
        <w:rPr>
          <w:rFonts w:eastAsiaTheme="minorEastAsia" w:cstheme="minorHAnsi"/>
        </w:rPr>
        <w:t xml:space="preserve">he top </w:t>
      </w:r>
      <m:oMath>
        <m:sSub>
          <m:sSubPr>
            <m:ctrlPr>
              <w:rPr>
                <w:rFonts w:ascii="Cambria Math" w:hAnsi="Cambria Math" w:cstheme="minorHAnsi"/>
              </w:rPr>
            </m:ctrlPr>
          </m:sSubPr>
          <m:e>
            <m:r>
              <w:rPr>
                <w:rFonts w:ascii="Cambria Math" w:hAnsi="Cambria Math" w:cstheme="minorHAnsi"/>
              </w:rPr>
              <m:t>M</m:t>
            </m:r>
            <m:ctrlPr>
              <w:rPr>
                <w:rFonts w:ascii="Cambria Math" w:hAnsi="Cambria Math" w:cstheme="minorHAnsi"/>
                <w:i/>
              </w:rPr>
            </m:ctrlPr>
          </m:e>
          <m:sub>
            <m:r>
              <m:rPr>
                <m:sty m:val="p"/>
              </m:rPr>
              <w:rPr>
                <w:rFonts w:ascii="Cambria Math" w:hAnsi="Cambria Math" w:cstheme="minorHAnsi"/>
              </w:rPr>
              <m:t>1</m:t>
            </m:r>
          </m:sub>
        </m:sSub>
        <m:r>
          <w:rPr>
            <w:rFonts w:ascii="Cambria Math" w:hAnsi="Cambria Math" w:cstheme="minorHAnsi"/>
          </w:rPr>
          <m:t xml:space="preserve"> </m:t>
        </m:r>
      </m:oMath>
      <w:r w:rsidR="00FC3B55" w:rsidRPr="00B929FD">
        <w:rPr>
          <w:rFonts w:cstheme="minorHAnsi"/>
        </w:rPr>
        <w:t>courses with highest</w:t>
      </w:r>
      <m:oMath>
        <m:r>
          <w:rPr>
            <w:rFonts w:ascii="Cambria Math" w:hAnsi="Cambria Math" w:cstheme="minorHAnsi"/>
          </w:rPr>
          <m:t xml:space="preserve"> </m:t>
        </m:r>
        <m:sSub>
          <m:sSubPr>
            <m:ctrlPr>
              <w:rPr>
                <w:rFonts w:ascii="Cambria Math" w:hAnsi="Cambria Math" w:cstheme="minorHAnsi"/>
                <w:i/>
              </w:rPr>
            </m:ctrlPr>
          </m:sSubPr>
          <m:e>
            <m:r>
              <w:rPr>
                <w:rFonts w:ascii="Cambria Math" w:hAnsi="Cambria Math" w:cstheme="minorHAnsi"/>
              </w:rPr>
              <m:t>V</m:t>
            </m:r>
          </m:e>
          <m:sub>
            <m:r>
              <w:rPr>
                <w:rFonts w:ascii="Cambria Math" w:hAnsi="Cambria Math" w:cstheme="minorHAnsi"/>
              </w:rPr>
              <m:t>ij'</m:t>
            </m:r>
          </m:sub>
        </m:sSub>
        <m:r>
          <w:rPr>
            <w:rFonts w:ascii="Cambria Math" w:eastAsiaTheme="minorEastAsia" w:hAnsi="Cambria Math" w:cstheme="minorHAnsi"/>
          </w:rPr>
          <m:t xml:space="preserve"> </m:t>
        </m:r>
      </m:oMath>
      <w:r w:rsidR="00190979" w:rsidRPr="00B929FD">
        <w:rPr>
          <w:rFonts w:cstheme="minorHAnsi"/>
        </w:rPr>
        <w:t xml:space="preserve">are selected </w:t>
      </w:r>
      <w:r w:rsidR="009B0998">
        <w:rPr>
          <w:rFonts w:eastAsiaTheme="minorEastAsia" w:cstheme="minorHAnsi"/>
        </w:rPr>
        <w:t>f</w:t>
      </w:r>
      <w:r w:rsidR="00FC3B55" w:rsidRPr="00B929FD">
        <w:rPr>
          <w:rFonts w:eastAsiaTheme="minorEastAsia" w:cstheme="minorHAnsi"/>
        </w:rPr>
        <w:t>rom 83 courses</w:t>
      </w:r>
      <w:r w:rsidR="00FC3B55" w:rsidRPr="00B929FD">
        <w:rPr>
          <w:rFonts w:cstheme="minorHAnsi"/>
        </w:rPr>
        <w:t xml:space="preserve"> </w:t>
      </w:r>
      <w:r w:rsidR="00190979" w:rsidRPr="00B929FD">
        <w:rPr>
          <w:rFonts w:cstheme="minorHAnsi"/>
        </w:rPr>
        <w:t>f</w:t>
      </w:r>
      <w:r w:rsidR="00190979" w:rsidRPr="00B929FD">
        <w:rPr>
          <w:rFonts w:eastAsiaTheme="minorEastAsia" w:cstheme="minorHAnsi"/>
        </w:rPr>
        <w:t>or each student</w:t>
      </w:r>
      <w:r w:rsidR="00190979" w:rsidRPr="00B929FD">
        <w:rPr>
          <w:rFonts w:cstheme="minorHAnsi"/>
        </w:rPr>
        <w:t xml:space="preserve">. </w:t>
      </w:r>
      <m:oMath>
        <m:sSub>
          <m:sSubPr>
            <m:ctrlPr>
              <w:rPr>
                <w:rFonts w:ascii="Cambria Math" w:hAnsi="Cambria Math" w:cstheme="minorHAnsi"/>
              </w:rPr>
            </m:ctrlPr>
          </m:sSubPr>
          <m:e>
            <m:r>
              <w:rPr>
                <w:rFonts w:ascii="Cambria Math" w:hAnsi="Cambria Math" w:cstheme="minorHAnsi"/>
              </w:rPr>
              <m:t>M</m:t>
            </m:r>
            <m:ctrlPr>
              <w:rPr>
                <w:rFonts w:ascii="Cambria Math" w:hAnsi="Cambria Math" w:cstheme="minorHAnsi"/>
                <w:i/>
              </w:rPr>
            </m:ctrlPr>
          </m:e>
          <m:sub>
            <m:r>
              <m:rPr>
                <m:sty m:val="p"/>
              </m:rPr>
              <w:rPr>
                <w:rFonts w:ascii="Cambria Math" w:hAnsi="Cambria Math" w:cstheme="minorHAnsi"/>
              </w:rPr>
              <m:t>1</m:t>
            </m:r>
          </m:sub>
        </m:sSub>
      </m:oMath>
      <w:r w:rsidR="00190979" w:rsidRPr="00B929FD">
        <w:rPr>
          <w:rFonts w:cstheme="minorHAnsi"/>
        </w:rPr>
        <w:t xml:space="preserve"> </w:t>
      </w:r>
      <w:proofErr w:type="gramStart"/>
      <w:r w:rsidR="00190979" w:rsidRPr="00B929FD">
        <w:rPr>
          <w:rFonts w:cstheme="minorHAnsi"/>
        </w:rPr>
        <w:t>is</w:t>
      </w:r>
      <w:proofErr w:type="gramEnd"/>
      <w:r w:rsidR="00190979" w:rsidRPr="00B929FD">
        <w:rPr>
          <w:rFonts w:cstheme="minorHAnsi"/>
        </w:rPr>
        <w:t xml:space="preserve"> </w:t>
      </w:r>
      <w:r w:rsidR="00FC3B55">
        <w:rPr>
          <w:rFonts w:cstheme="minorHAnsi"/>
        </w:rPr>
        <w:t xml:space="preserve">independently chosen for each student from </w:t>
      </w:r>
      <w:r w:rsidR="00190979" w:rsidRPr="00B929FD">
        <w:rPr>
          <w:rFonts w:cstheme="minorHAnsi"/>
        </w:rPr>
        <w:t>the discrete uniform distribution</w:t>
      </w:r>
      <w:r w:rsidR="00573E88">
        <w:rPr>
          <w:rFonts w:cstheme="minorHAnsi"/>
        </w:rPr>
        <w:t xml:space="preserve"> on the interval</w:t>
      </w:r>
      <w:r w:rsidR="00190979" w:rsidRPr="00B929FD">
        <w:rPr>
          <w:rFonts w:cstheme="minorHAnsi"/>
        </w:rPr>
        <w:t xml:space="preserve"> [30, 35].</w:t>
      </w:r>
      <w:r w:rsidR="00B929FD">
        <w:rPr>
          <w:rFonts w:cstheme="minorHAnsi"/>
        </w:rPr>
        <w:t xml:space="preserve"> </w:t>
      </w:r>
      <w:r w:rsidR="00DB1691">
        <w:rPr>
          <w:rFonts w:cstheme="minorHAnsi"/>
        </w:rPr>
        <w:t xml:space="preserve">To generate correlated yet distinct values for particular sections of the same course, we generated </w:t>
      </w:r>
      <w:r w:rsidR="00DB1691" w:rsidRPr="00B929FD">
        <w:rPr>
          <w:rFonts w:cstheme="minorHAnsi"/>
        </w:rPr>
        <w:t xml:space="preserve">random normal number </w:t>
      </w:r>
      <m:oMath>
        <m:r>
          <w:rPr>
            <w:rFonts w:ascii="Cambria Math" w:hAnsi="Cambria Math" w:cstheme="minorHAnsi"/>
          </w:rPr>
          <m:t>C</m:t>
        </m:r>
        <m:sSub>
          <m:sSubPr>
            <m:ctrlPr>
              <w:rPr>
                <w:rFonts w:ascii="Cambria Math" w:hAnsi="Cambria Math" w:cstheme="minorHAnsi"/>
              </w:rPr>
            </m:ctrlPr>
          </m:sSubPr>
          <m:e>
            <m:r>
              <w:rPr>
                <w:rFonts w:ascii="Cambria Math" w:hAnsi="Cambria Math" w:cstheme="minorHAnsi"/>
              </w:rPr>
              <m:t>S</m:t>
            </m:r>
          </m:e>
          <m:sub>
            <m:r>
              <w:rPr>
                <w:rFonts w:ascii="Cambria Math" w:hAnsi="Cambria Math" w:cstheme="minorHAnsi"/>
              </w:rPr>
              <m:t>ilj</m:t>
            </m:r>
            <m:r>
              <m:rPr>
                <m:sty m:val="p"/>
              </m:rPr>
              <w:rPr>
                <w:rFonts w:ascii="Cambria Math" w:hAnsi="Cambria Math" w:cstheme="minorHAnsi"/>
              </w:rPr>
              <m:t>'</m:t>
            </m:r>
          </m:sub>
        </m:sSub>
      </m:oMath>
      <w:r w:rsidR="00DB1691">
        <w:rPr>
          <w:rFonts w:cstheme="minorHAnsi"/>
        </w:rPr>
        <w:t xml:space="preserve"> f</w:t>
      </w:r>
      <w:r w:rsidR="00190979" w:rsidRPr="00B929FD">
        <w:rPr>
          <w:rFonts w:cstheme="minorHAnsi"/>
        </w:rPr>
        <w:t xml:space="preserve">or the </w:t>
      </w:r>
      <m:oMath>
        <m:sSup>
          <m:sSupPr>
            <m:ctrlPr>
              <w:rPr>
                <w:rFonts w:ascii="Cambria Math" w:hAnsi="Cambria Math" w:cstheme="minorHAnsi"/>
              </w:rPr>
            </m:ctrlPr>
          </m:sSupPr>
          <m:e>
            <m:r>
              <w:rPr>
                <w:rFonts w:ascii="Cambria Math" w:hAnsi="Cambria Math" w:cstheme="minorHAnsi"/>
              </w:rPr>
              <m:t>l</m:t>
            </m:r>
          </m:e>
          <m:sup>
            <m:r>
              <w:rPr>
                <w:rFonts w:ascii="Cambria Math" w:hAnsi="Cambria Math" w:cstheme="minorHAnsi"/>
              </w:rPr>
              <m:t>th</m:t>
            </m:r>
          </m:sup>
        </m:sSup>
      </m:oMath>
      <w:r w:rsidR="00190979" w:rsidRPr="00B929FD">
        <w:rPr>
          <w:rFonts w:cstheme="minorHAnsi"/>
        </w:rPr>
        <w:t xml:space="preserve"> section of each selected course </w:t>
      </w:r>
      <m:oMath>
        <m:r>
          <w:rPr>
            <w:rFonts w:ascii="Cambria Math" w:hAnsi="Cambria Math" w:cstheme="minorHAnsi"/>
          </w:rPr>
          <m:t>j</m:t>
        </m:r>
        <m:r>
          <m:rPr>
            <m:sty m:val="p"/>
          </m:rPr>
          <w:rPr>
            <w:rFonts w:ascii="Cambria Math" w:hAnsi="Cambria Math" w:cstheme="minorHAnsi"/>
          </w:rPr>
          <m:t xml:space="preserve">' </m:t>
        </m:r>
      </m:oMath>
      <w:r w:rsidR="00190979" w:rsidRPr="00B929FD">
        <w:rPr>
          <w:rFonts w:cstheme="minorHAnsi"/>
        </w:rPr>
        <w:t>of student</w:t>
      </w:r>
      <m:oMath>
        <m:r>
          <m:rPr>
            <m:sty m:val="p"/>
          </m:rPr>
          <w:rPr>
            <w:rFonts w:ascii="Cambria Math" w:hAnsi="Cambria Math" w:cstheme="minorHAnsi"/>
          </w:rPr>
          <m:t xml:space="preserve"> </m:t>
        </m:r>
        <m:r>
          <w:rPr>
            <w:rFonts w:ascii="Cambria Math" w:hAnsi="Cambria Math" w:cstheme="minorHAnsi"/>
          </w:rPr>
          <m:t>i</m:t>
        </m:r>
      </m:oMath>
      <w:r w:rsidR="00DB1691">
        <w:rPr>
          <w:rFonts w:cstheme="minorHAnsi"/>
        </w:rPr>
        <w:t xml:space="preserve">, and set the section value </w:t>
      </w:r>
      <w:proofErr w:type="gramStart"/>
      <w:r w:rsidR="00DB1691">
        <w:rPr>
          <w:rFonts w:cstheme="minorHAnsi"/>
        </w:rPr>
        <w:t xml:space="preserve">to </w:t>
      </w:r>
      <w:proofErr w:type="gramEnd"/>
      <m:oMath>
        <m:r>
          <w:rPr>
            <w:rFonts w:ascii="Cambria Math" w:hAnsi="Cambria Math" w:cstheme="minorHAnsi"/>
          </w:rPr>
          <m:t>V</m:t>
        </m:r>
        <m:sSub>
          <m:sSubPr>
            <m:ctrlPr>
              <w:rPr>
                <w:rFonts w:ascii="Cambria Math" w:hAnsi="Cambria Math" w:cstheme="minorHAnsi"/>
              </w:rPr>
            </m:ctrlPr>
          </m:sSubPr>
          <m:e>
            <m:r>
              <w:rPr>
                <w:rFonts w:ascii="Cambria Math" w:hAnsi="Cambria Math" w:cstheme="minorHAnsi"/>
              </w:rPr>
              <m:t>S</m:t>
            </m:r>
          </m:e>
          <m:sub>
            <m:r>
              <w:rPr>
                <w:rFonts w:ascii="Cambria Math" w:hAnsi="Cambria Math" w:cstheme="minorHAnsi"/>
              </w:rPr>
              <m:t>ilj</m:t>
            </m:r>
            <m:r>
              <m:rPr>
                <m:sty m:val="p"/>
              </m:rPr>
              <w:rPr>
                <w:rFonts w:ascii="Cambria Math" w:hAnsi="Cambria Math" w:cstheme="minorHAnsi"/>
              </w:rPr>
              <m:t>'</m:t>
            </m:r>
          </m:sub>
        </m:sSub>
        <m:r>
          <m:rPr>
            <m:sty m:val="p"/>
          </m:rPr>
          <w:rPr>
            <w:rFonts w:ascii="Cambria Math" w:hAnsi="Cambria Math" w:cstheme="minorHAnsi"/>
          </w:rPr>
          <m:t>=</m:t>
        </m:r>
        <m:sSub>
          <m:sSubPr>
            <m:ctrlPr>
              <w:rPr>
                <w:rFonts w:ascii="Cambria Math" w:hAnsi="Cambria Math" w:cstheme="minorHAnsi"/>
              </w:rPr>
            </m:ctrlPr>
          </m:sSubPr>
          <m:e>
            <m:r>
              <w:rPr>
                <w:rFonts w:ascii="Cambria Math" w:hAnsi="Cambria Math" w:cstheme="minorHAnsi"/>
              </w:rPr>
              <m:t>V</m:t>
            </m:r>
          </m:e>
          <m:sub>
            <m:r>
              <w:rPr>
                <w:rFonts w:ascii="Cambria Math" w:hAnsi="Cambria Math" w:cstheme="minorHAnsi"/>
              </w:rPr>
              <m:t>ij</m:t>
            </m:r>
            <m:r>
              <m:rPr>
                <m:sty m:val="p"/>
              </m:rPr>
              <w:rPr>
                <w:rFonts w:ascii="Cambria Math" w:hAnsi="Cambria Math" w:cstheme="minorHAnsi"/>
              </w:rPr>
              <m:t>'</m:t>
            </m:r>
          </m:sub>
        </m:sSub>
        <m:r>
          <m:rPr>
            <m:sty m:val="p"/>
          </m:rPr>
          <w:rPr>
            <w:rFonts w:ascii="Cambria Math" w:hAnsi="Cambria Math" w:cstheme="minorHAnsi"/>
          </w:rPr>
          <m:t>+</m:t>
        </m:r>
        <m:r>
          <w:rPr>
            <w:rFonts w:ascii="Cambria Math" w:hAnsi="Cambria Math" w:cstheme="minorHAnsi"/>
          </w:rPr>
          <m:t>C</m:t>
        </m:r>
        <m:sSub>
          <m:sSubPr>
            <m:ctrlPr>
              <w:rPr>
                <w:rFonts w:ascii="Cambria Math" w:hAnsi="Cambria Math" w:cstheme="minorHAnsi"/>
              </w:rPr>
            </m:ctrlPr>
          </m:sSubPr>
          <m:e>
            <m:r>
              <w:rPr>
                <w:rFonts w:ascii="Cambria Math" w:hAnsi="Cambria Math" w:cstheme="minorHAnsi"/>
              </w:rPr>
              <m:t>S</m:t>
            </m:r>
          </m:e>
          <m:sub>
            <m:r>
              <w:rPr>
                <w:rFonts w:ascii="Cambria Math" w:hAnsi="Cambria Math" w:cstheme="minorHAnsi"/>
              </w:rPr>
              <m:t>ilj</m:t>
            </m:r>
            <m:r>
              <m:rPr>
                <m:sty m:val="p"/>
              </m:rPr>
              <w:rPr>
                <w:rFonts w:ascii="Cambria Math" w:hAnsi="Cambria Math" w:cstheme="minorHAnsi"/>
              </w:rPr>
              <m:t>'</m:t>
            </m:r>
          </m:sub>
        </m:sSub>
      </m:oMath>
      <w:r w:rsidR="00190979" w:rsidRPr="00B929FD">
        <w:rPr>
          <w:rFonts w:cstheme="minorHAnsi"/>
        </w:rPr>
        <w:t xml:space="preserve">. </w:t>
      </w:r>
      <w:r w:rsidR="00410E27">
        <w:rPr>
          <w:rFonts w:cstheme="minorHAnsi"/>
        </w:rPr>
        <w:t>For each student, all course-</w:t>
      </w:r>
      <w:r w:rsidR="00190979" w:rsidRPr="00190979">
        <w:rPr>
          <w:rFonts w:cstheme="minorHAnsi"/>
        </w:rPr>
        <w:t>sections are sorted based</w:t>
      </w:r>
      <w:r w:rsidR="00DB1691">
        <w:rPr>
          <w:rFonts w:cstheme="minorHAnsi"/>
        </w:rPr>
        <w:t xml:space="preserve"> </w:t>
      </w:r>
      <w:r w:rsidR="00190979" w:rsidRPr="00190979">
        <w:rPr>
          <w:rFonts w:cstheme="minorHAnsi"/>
        </w:rPr>
        <w:t>on</w:t>
      </w:r>
      <m:oMath>
        <m:r>
          <m:rPr>
            <m:sty m:val="p"/>
          </m:rPr>
          <w:rPr>
            <w:rFonts w:ascii="Cambria Math" w:hAnsi="Cambria Math" w:cstheme="minorHAnsi"/>
          </w:rPr>
          <m:t xml:space="preserve"> </m:t>
        </m:r>
        <m:r>
          <w:rPr>
            <w:rFonts w:ascii="Cambria Math" w:hAnsi="Cambria Math" w:cstheme="minorHAnsi"/>
          </w:rPr>
          <m:t>V</m:t>
        </m:r>
        <m:sSub>
          <m:sSubPr>
            <m:ctrlPr>
              <w:rPr>
                <w:rFonts w:ascii="Cambria Math" w:hAnsi="Cambria Math" w:cstheme="minorHAnsi"/>
              </w:rPr>
            </m:ctrlPr>
          </m:sSubPr>
          <m:e>
            <m:r>
              <w:rPr>
                <w:rFonts w:ascii="Cambria Math" w:hAnsi="Cambria Math" w:cstheme="minorHAnsi"/>
              </w:rPr>
              <m:t>S</m:t>
            </m:r>
          </m:e>
          <m:sub>
            <m:r>
              <w:rPr>
                <w:rFonts w:ascii="Cambria Math" w:hAnsi="Cambria Math" w:cstheme="minorHAnsi"/>
              </w:rPr>
              <m:t>ilj</m:t>
            </m:r>
            <m:r>
              <m:rPr>
                <m:sty m:val="p"/>
              </m:rPr>
              <w:rPr>
                <w:rFonts w:ascii="Cambria Math" w:hAnsi="Cambria Math" w:cstheme="minorHAnsi"/>
              </w:rPr>
              <m:t>'</m:t>
            </m:r>
          </m:sub>
        </m:sSub>
        <m:r>
          <m:rPr>
            <m:sty m:val="p"/>
          </m:rPr>
          <w:rPr>
            <w:rFonts w:ascii="Cambria Math" w:hAnsi="Cambria Math" w:cstheme="minorHAnsi"/>
          </w:rPr>
          <m:t xml:space="preserve"> </m:t>
        </m:r>
      </m:oMath>
      <w:r w:rsidR="00190979" w:rsidRPr="00190979">
        <w:rPr>
          <w:rFonts w:cstheme="minorHAnsi"/>
        </w:rPr>
        <w:t xml:space="preserve"> and the top </w:t>
      </w:r>
      <m:oMath>
        <m:r>
          <w:rPr>
            <w:rFonts w:ascii="Cambria Math" w:hAnsi="Cambria Math" w:cstheme="minorHAnsi"/>
          </w:rPr>
          <m:t>M</m:t>
        </m:r>
        <m:r>
          <m:rPr>
            <m:sty m:val="p"/>
          </m:rPr>
          <w:rPr>
            <w:rFonts w:ascii="Cambria Math" w:hAnsi="Cambria Math" w:cstheme="minorHAnsi"/>
          </w:rPr>
          <m:t xml:space="preserve">1 </m:t>
        </m:r>
      </m:oMath>
      <w:r w:rsidR="00B929FD">
        <w:rPr>
          <w:rFonts w:cstheme="minorHAnsi"/>
        </w:rPr>
        <w:t>course</w:t>
      </w:r>
      <w:r w:rsidR="00410E27">
        <w:rPr>
          <w:rFonts w:cstheme="minorHAnsi"/>
        </w:rPr>
        <w:t>-</w:t>
      </w:r>
      <w:r w:rsidR="00B929FD">
        <w:rPr>
          <w:rFonts w:cstheme="minorHAnsi"/>
        </w:rPr>
        <w:t xml:space="preserve">sections are selected. </w:t>
      </w:r>
      <w:r w:rsidR="00DB1691">
        <w:rPr>
          <w:rFonts w:cstheme="minorHAnsi"/>
        </w:rPr>
        <w:t xml:space="preserve">Re-indexing course sections to a single list translates </w:t>
      </w:r>
      <w:r w:rsidR="00DB1691" w:rsidRPr="00B929FD">
        <w:rPr>
          <w:rFonts w:cstheme="minorHAnsi"/>
        </w:rPr>
        <w:t xml:space="preserve">the </w:t>
      </w:r>
      <m:oMath>
        <m:sSup>
          <m:sSupPr>
            <m:ctrlPr>
              <w:rPr>
                <w:rFonts w:ascii="Cambria Math" w:hAnsi="Cambria Math" w:cstheme="minorHAnsi"/>
              </w:rPr>
            </m:ctrlPr>
          </m:sSupPr>
          <m:e>
            <m:r>
              <w:rPr>
                <w:rFonts w:ascii="Cambria Math" w:hAnsi="Cambria Math" w:cstheme="minorHAnsi"/>
              </w:rPr>
              <m:t>l</m:t>
            </m:r>
          </m:e>
          <m:sup>
            <m:r>
              <w:rPr>
                <w:rFonts w:ascii="Cambria Math" w:hAnsi="Cambria Math" w:cstheme="minorHAnsi"/>
              </w:rPr>
              <m:t>th</m:t>
            </m:r>
          </m:sup>
        </m:sSup>
      </m:oMath>
      <w:r w:rsidR="00DB1691" w:rsidRPr="00B929FD">
        <w:rPr>
          <w:rFonts w:cstheme="minorHAnsi"/>
        </w:rPr>
        <w:t xml:space="preserve"> section of each selected course </w:t>
      </w:r>
      <m:oMath>
        <m:r>
          <w:rPr>
            <w:rFonts w:ascii="Cambria Math" w:hAnsi="Cambria Math" w:cstheme="minorHAnsi"/>
          </w:rPr>
          <m:t>j</m:t>
        </m:r>
        <m:r>
          <m:rPr>
            <m:sty m:val="p"/>
          </m:rPr>
          <w:rPr>
            <w:rFonts w:ascii="Cambria Math" w:hAnsi="Cambria Math" w:cstheme="minorHAnsi"/>
          </w:rPr>
          <m:t xml:space="preserve">' </m:t>
        </m:r>
      </m:oMath>
      <w:r w:rsidR="00776AA5">
        <w:rPr>
          <w:rFonts w:cstheme="minorHAnsi"/>
        </w:rPr>
        <w:t>to the index</w:t>
      </w:r>
      <w:r w:rsidR="00DB1691">
        <w:rPr>
          <w:rFonts w:cstheme="minorHAnsi"/>
        </w:rPr>
        <w:t xml:space="preserve">, and </w:t>
      </w:r>
      <w:proofErr w:type="gramStart"/>
      <w:r w:rsidR="00DB1691">
        <w:rPr>
          <w:rFonts w:cstheme="minorHAnsi"/>
        </w:rPr>
        <w:t xml:space="preserve">thus </w:t>
      </w:r>
      <m:oMath>
        <m:sSub>
          <m:sSubPr>
            <m:ctrlPr>
              <w:rPr>
                <w:rFonts w:ascii="Cambria Math" w:hAnsi="Cambria Math" w:cstheme="minorHAnsi"/>
                <w:i/>
              </w:rPr>
            </m:ctrlPr>
          </m:sSubPr>
          <m:e>
            <w:proofErr w:type="gramEnd"/>
            <m:r>
              <w:rPr>
                <w:rFonts w:ascii="Cambria Math" w:hAnsi="Cambria Math" w:cstheme="minorHAnsi"/>
              </w:rPr>
              <m:t>VS</m:t>
            </m:r>
          </m:e>
          <m:sub>
            <m:r>
              <w:rPr>
                <w:rFonts w:ascii="Cambria Math" w:hAnsi="Cambria Math" w:cstheme="minorHAnsi"/>
              </w:rPr>
              <m:t>ij</m:t>
            </m:r>
          </m:sub>
        </m:sSub>
        <m:r>
          <w:rPr>
            <w:rFonts w:ascii="Cambria Math" w:hAnsi="Cambria Math" w:cstheme="minorHAnsi"/>
          </w:rPr>
          <m:t>=V</m:t>
        </m:r>
        <m:sSub>
          <m:sSubPr>
            <m:ctrlPr>
              <w:rPr>
                <w:rFonts w:ascii="Cambria Math" w:hAnsi="Cambria Math" w:cstheme="minorHAnsi"/>
              </w:rPr>
            </m:ctrlPr>
          </m:sSubPr>
          <m:e>
            <m:r>
              <w:rPr>
                <w:rFonts w:ascii="Cambria Math" w:hAnsi="Cambria Math" w:cstheme="minorHAnsi"/>
              </w:rPr>
              <m:t>S</m:t>
            </m:r>
          </m:e>
          <m:sub>
            <m:r>
              <w:rPr>
                <w:rFonts w:ascii="Cambria Math" w:hAnsi="Cambria Math" w:cstheme="minorHAnsi"/>
              </w:rPr>
              <m:t>ilj</m:t>
            </m:r>
            <m:r>
              <m:rPr>
                <m:sty m:val="p"/>
              </m:rPr>
              <w:rPr>
                <w:rFonts w:ascii="Cambria Math" w:hAnsi="Cambria Math" w:cstheme="minorHAnsi"/>
              </w:rPr>
              <m:t>'</m:t>
            </m:r>
          </m:sub>
        </m:sSub>
      </m:oMath>
      <w:r w:rsidR="00DB1691">
        <w:rPr>
          <w:rFonts w:eastAsiaTheme="minorEastAsia" w:cstheme="minorHAnsi"/>
        </w:rPr>
        <w:t xml:space="preserve"> . </w:t>
      </w:r>
      <w:r w:rsidR="00410E27">
        <w:rPr>
          <w:rFonts w:cstheme="minorHAnsi"/>
        </w:rPr>
        <w:t xml:space="preserve">The </w:t>
      </w:r>
      <w:r w:rsidR="00573E88">
        <w:rPr>
          <w:rFonts w:cstheme="minorHAnsi"/>
        </w:rPr>
        <w:t>ordinal values</w:t>
      </w:r>
      <w:r w:rsidR="00DB1691">
        <w:rPr>
          <w:rFonts w:cstheme="minorHAnsi"/>
        </w:rPr>
        <w:t xml:space="preserve"> of course</w:t>
      </w:r>
      <w:r w:rsidR="00DB1691">
        <w:rPr>
          <w:rFonts w:eastAsiaTheme="minorEastAsia" w:cstheme="minorHAnsi"/>
        </w:rPr>
        <w:t xml:space="preserve"> </w:t>
      </w:r>
      <m:oMath>
        <m:sSub>
          <m:sSubPr>
            <m:ctrlPr>
              <w:rPr>
                <w:rFonts w:ascii="Cambria Math" w:hAnsi="Cambria Math" w:cstheme="minorHAnsi"/>
              </w:rPr>
            </m:ctrlPr>
          </m:sSubPr>
          <m:e>
            <m:r>
              <w:rPr>
                <w:rFonts w:ascii="Cambria Math" w:hAnsi="Cambria Math" w:cstheme="minorHAnsi"/>
              </w:rPr>
              <m:t>r</m:t>
            </m:r>
          </m:e>
          <m:sub>
            <m:r>
              <w:rPr>
                <w:rFonts w:ascii="Cambria Math" w:hAnsi="Cambria Math" w:cstheme="minorHAnsi"/>
              </w:rPr>
              <m:t>ij</m:t>
            </m:r>
          </m:sub>
        </m:sSub>
      </m:oMath>
      <w:r w:rsidR="00190979" w:rsidRPr="00190979">
        <w:rPr>
          <w:rFonts w:cstheme="minorHAnsi"/>
        </w:rPr>
        <w:t xml:space="preserve"> are </w:t>
      </w:r>
      <w:r w:rsidR="00DB1691">
        <w:rPr>
          <w:rFonts w:cstheme="minorHAnsi"/>
        </w:rPr>
        <w:t xml:space="preserve">the inferred based on </w:t>
      </w:r>
      <m:oMath>
        <m:sSub>
          <m:sSubPr>
            <m:ctrlPr>
              <w:rPr>
                <w:rFonts w:ascii="Cambria Math" w:hAnsi="Cambria Math" w:cstheme="minorHAnsi"/>
                <w:i/>
              </w:rPr>
            </m:ctrlPr>
          </m:sSubPr>
          <m:e>
            <m:r>
              <w:rPr>
                <w:rFonts w:ascii="Cambria Math" w:hAnsi="Cambria Math" w:cstheme="minorHAnsi"/>
              </w:rPr>
              <m:t>VS</m:t>
            </m:r>
          </m:e>
          <m:sub>
            <m:r>
              <w:rPr>
                <w:rFonts w:ascii="Cambria Math" w:hAnsi="Cambria Math" w:cstheme="minorHAnsi"/>
              </w:rPr>
              <m:t>ij</m:t>
            </m:r>
          </m:sub>
        </m:sSub>
      </m:oMath>
      <w:r w:rsidR="00DB1691">
        <w:rPr>
          <w:rFonts w:cstheme="minorHAnsi"/>
        </w:rPr>
        <w:t xml:space="preserve"> </w:t>
      </w:r>
      <w:r w:rsidR="00AF32A7">
        <w:rPr>
          <w:rFonts w:cstheme="minorHAnsi"/>
        </w:rPr>
        <w:t xml:space="preserve">to span the integers </w:t>
      </w:r>
      <w:r w:rsidR="00410E27">
        <w:rPr>
          <w:rFonts w:cstheme="minorHAnsi"/>
        </w:rPr>
        <w:t>between [</w:t>
      </w:r>
      <m:oMath>
        <m:sSub>
          <m:sSubPr>
            <m:ctrlPr>
              <w:rPr>
                <w:rFonts w:ascii="Cambria Math" w:hAnsi="Cambria Math" w:cstheme="minorHAnsi"/>
                <w:i/>
              </w:rPr>
            </m:ctrlPr>
          </m:sSubPr>
          <m:e>
            <m:r>
              <w:rPr>
                <w:rFonts w:ascii="Cambria Math" w:hAnsi="Cambria Math" w:cstheme="minorHAnsi"/>
              </w:rPr>
              <m:t>100- M</m:t>
            </m:r>
          </m:e>
          <m:sub>
            <m:r>
              <w:rPr>
                <w:rFonts w:ascii="Cambria Math" w:hAnsi="Cambria Math" w:cstheme="minorHAnsi"/>
              </w:rPr>
              <m:t>1</m:t>
            </m:r>
          </m:sub>
        </m:sSub>
        <m:r>
          <w:rPr>
            <w:rFonts w:ascii="Cambria Math" w:hAnsi="Cambria Math" w:cstheme="minorHAnsi"/>
          </w:rPr>
          <m:t>+1, 1</m:t>
        </m:r>
        <m:r>
          <w:rPr>
            <w:rFonts w:ascii="Cambria Math" w:eastAsiaTheme="minorEastAsia" w:hAnsi="Cambria Math" w:cstheme="minorHAnsi"/>
          </w:rPr>
          <m:t>00</m:t>
        </m:r>
      </m:oMath>
      <w:r w:rsidR="00410E27">
        <w:rPr>
          <w:rFonts w:eastAsiaTheme="minorEastAsia" w:cstheme="minorHAnsi"/>
        </w:rPr>
        <w:t>]</w:t>
      </w:r>
      <w:r w:rsidR="009B0998">
        <w:rPr>
          <w:rFonts w:eastAsiaTheme="minorEastAsia" w:cstheme="minorHAnsi"/>
        </w:rPr>
        <w:t>.</w:t>
      </w:r>
      <w:r w:rsidR="00190979" w:rsidRPr="00190979">
        <w:rPr>
          <w:rFonts w:cstheme="minorHAnsi"/>
        </w:rPr>
        <w:t xml:space="preserve"> </w:t>
      </w:r>
      <w:r w:rsidR="005622D2" w:rsidRPr="00190979">
        <w:rPr>
          <w:rFonts w:cstheme="minorHAnsi"/>
        </w:rPr>
        <w:t>Therefore</w:t>
      </w:r>
      <w:r w:rsidR="00190979" w:rsidRPr="00190979">
        <w:rPr>
          <w:rFonts w:cstheme="minorHAnsi"/>
        </w:rPr>
        <w:t xml:space="preserve">, </w:t>
      </w:r>
      <m:oMath>
        <m:sSub>
          <m:sSubPr>
            <m:ctrlPr>
              <w:rPr>
                <w:rFonts w:ascii="Cambria Math" w:hAnsi="Cambria Math" w:cstheme="minorHAnsi"/>
              </w:rPr>
            </m:ctrlPr>
          </m:sSubPr>
          <m:e>
            <m:r>
              <w:rPr>
                <w:rFonts w:ascii="Cambria Math" w:hAnsi="Cambria Math" w:cstheme="minorHAnsi"/>
              </w:rPr>
              <m:t>r</m:t>
            </m:r>
          </m:e>
          <m:sub>
            <m:r>
              <w:rPr>
                <w:rFonts w:ascii="Cambria Math" w:hAnsi="Cambria Math" w:cstheme="minorHAnsi"/>
              </w:rPr>
              <m:t>ij</m:t>
            </m:r>
          </m:sub>
        </m:sSub>
        <m:r>
          <m:rPr>
            <m:sty m:val="p"/>
          </m:rPr>
          <w:rPr>
            <w:rFonts w:ascii="Cambria Math" w:hAnsi="Cambria Math" w:cstheme="minorHAnsi"/>
          </w:rPr>
          <m:t xml:space="preserve"> </m:t>
        </m:r>
      </m:oMath>
      <w:r w:rsidR="00AF32A7">
        <w:rPr>
          <w:rFonts w:cstheme="minorHAnsi"/>
        </w:rPr>
        <w:t>for</w:t>
      </w:r>
      <w:r w:rsidR="00190979" w:rsidRPr="00190979">
        <w:rPr>
          <w:rFonts w:cstheme="minorHAnsi"/>
        </w:rPr>
        <w:t xml:space="preserve"> </w:t>
      </w:r>
      <w:proofErr w:type="gramStart"/>
      <w:r w:rsidR="00190979" w:rsidRPr="00190979">
        <w:rPr>
          <w:rFonts w:cstheme="minorHAnsi"/>
        </w:rPr>
        <w:t xml:space="preserve">student </w:t>
      </w:r>
      <w:proofErr w:type="gramEnd"/>
      <m:oMath>
        <m:r>
          <w:rPr>
            <w:rFonts w:ascii="Cambria Math" w:hAnsi="Cambria Math" w:cstheme="minorHAnsi"/>
          </w:rPr>
          <m:t>i</m:t>
        </m:r>
      </m:oMath>
      <w:r w:rsidR="00AF32A7">
        <w:rPr>
          <w:rFonts w:eastAsiaTheme="minorEastAsia" w:cstheme="minorHAnsi"/>
        </w:rPr>
        <w:t xml:space="preserve">‘s top course </w:t>
      </w:r>
      <w:r w:rsidR="00190979" w:rsidRPr="00190979">
        <w:rPr>
          <w:rFonts w:cstheme="minorHAnsi"/>
        </w:rPr>
        <w:t xml:space="preserve">is 100, for her second </w:t>
      </w:r>
      <w:r w:rsidR="00AF32A7">
        <w:rPr>
          <w:rFonts w:cstheme="minorHAnsi"/>
        </w:rPr>
        <w:t xml:space="preserve">favorite </w:t>
      </w:r>
      <w:r w:rsidR="00190979" w:rsidRPr="00190979">
        <w:rPr>
          <w:rFonts w:cstheme="minorHAnsi"/>
        </w:rPr>
        <w:t>course is 99</w:t>
      </w:r>
      <w:r w:rsidR="00AF32A7">
        <w:rPr>
          <w:rFonts w:cstheme="minorHAnsi"/>
        </w:rPr>
        <w:t>,</w:t>
      </w:r>
      <w:r w:rsidR="00190979" w:rsidRPr="00190979">
        <w:rPr>
          <w:rFonts w:cstheme="minorHAnsi"/>
        </w:rPr>
        <w:t xml:space="preserve"> and so on. </w:t>
      </w:r>
      <w:r w:rsidR="00FC3B55">
        <w:rPr>
          <w:rFonts w:cstheme="minorHAnsi"/>
        </w:rPr>
        <w:t xml:space="preserve"> </w:t>
      </w:r>
    </w:p>
    <w:p w14:paraId="337A2112" w14:textId="2E6862D6" w:rsidR="004801C1" w:rsidRPr="000A4312" w:rsidRDefault="00AF32A7" w:rsidP="000A4312">
      <w:pPr>
        <w:tabs>
          <w:tab w:val="left" w:pos="1440"/>
          <w:tab w:val="left" w:pos="5760"/>
        </w:tabs>
        <w:ind w:firstLine="360"/>
        <w:contextualSpacing/>
        <w:rPr>
          <w:rFonts w:cstheme="minorHAnsi"/>
        </w:rPr>
      </w:pPr>
      <w:r>
        <w:rPr>
          <w:rFonts w:cstheme="minorHAnsi"/>
        </w:rPr>
        <w:t xml:space="preserve">Finally, the </w:t>
      </w:r>
      <m:oMath>
        <m:sSub>
          <m:sSubPr>
            <m:ctrlPr>
              <w:rPr>
                <w:rFonts w:ascii="Cambria Math" w:hAnsi="Cambria Math" w:cstheme="minorHAnsi"/>
                <w:i/>
              </w:rPr>
            </m:ctrlPr>
          </m:sSubPr>
          <m:e>
            <m:r>
              <w:rPr>
                <w:rFonts w:ascii="Cambria Math" w:hAnsi="Cambria Math" w:cstheme="minorHAnsi"/>
              </w:rPr>
              <m:t>u</m:t>
            </m:r>
          </m:e>
          <m:sub>
            <m:r>
              <w:rPr>
                <w:rFonts w:ascii="Cambria Math" w:hAnsi="Cambria Math" w:cstheme="minorHAnsi"/>
              </w:rPr>
              <m:t>ij</m:t>
            </m:r>
          </m:sub>
        </m:sSub>
      </m:oMath>
      <w:r>
        <w:rPr>
          <w:rFonts w:cstheme="minorHAnsi"/>
        </w:rPr>
        <w:t xml:space="preserve"> </w:t>
      </w:r>
      <w:r w:rsidR="00190979" w:rsidRPr="00B929FD">
        <w:rPr>
          <w:rFonts w:cstheme="minorHAnsi"/>
        </w:rPr>
        <w:t xml:space="preserve">values of </w:t>
      </w:r>
      <w:r w:rsidR="00976C92">
        <w:rPr>
          <w:rFonts w:cstheme="minorHAnsi"/>
        </w:rPr>
        <w:t>course-</w:t>
      </w:r>
      <w:r w:rsidR="00190979" w:rsidRPr="00B929FD">
        <w:rPr>
          <w:rFonts w:cstheme="minorHAnsi"/>
        </w:rPr>
        <w:t xml:space="preserve">sections of each student </w:t>
      </w:r>
      <w:r>
        <w:rPr>
          <w:rFonts w:cstheme="minorHAnsi"/>
        </w:rPr>
        <w:t xml:space="preserve">are assigned as follows. Depending on the number of courses evaluated by a student, approximately 10% (and then 40%, 40%, 10%, respectively) of the courses receive a draw from a </w:t>
      </w:r>
      <w:r w:rsidR="00190979" w:rsidRPr="00B929FD">
        <w:rPr>
          <w:rFonts w:cstheme="minorHAnsi"/>
        </w:rPr>
        <w:t xml:space="preserve">discrete uniform distribution </w:t>
      </w:r>
      <w:r>
        <w:rPr>
          <w:rFonts w:cstheme="minorHAnsi"/>
        </w:rPr>
        <w:t>[0</w:t>
      </w:r>
      <w:proofErr w:type="gramStart"/>
      <w:r>
        <w:rPr>
          <w:rFonts w:cstheme="minorHAnsi"/>
        </w:rPr>
        <w:t>,10</w:t>
      </w:r>
      <w:proofErr w:type="gramEnd"/>
      <w:r>
        <w:rPr>
          <w:rFonts w:cstheme="minorHAnsi"/>
        </w:rPr>
        <w:t xml:space="preserve">] (and then </w:t>
      </w:r>
      <w:r w:rsidR="00190979" w:rsidRPr="00B929FD">
        <w:rPr>
          <w:rFonts w:cstheme="minorHAnsi"/>
        </w:rPr>
        <w:t>[10,50], [50,100] and [100,200], respectively</w:t>
      </w:r>
      <w:r>
        <w:rPr>
          <w:rFonts w:cstheme="minorHAnsi"/>
        </w:rPr>
        <w:t>)</w:t>
      </w:r>
      <w:r w:rsidR="00190979" w:rsidRPr="00B929FD">
        <w:rPr>
          <w:rFonts w:cstheme="minorHAnsi"/>
        </w:rPr>
        <w:t>.</w:t>
      </w:r>
      <w:r w:rsidR="00976C92">
        <w:rPr>
          <w:rFonts w:cstheme="minorHAnsi"/>
        </w:rPr>
        <w:t xml:space="preserve"> </w:t>
      </w:r>
      <w:r w:rsidR="00190979" w:rsidRPr="00B929FD">
        <w:rPr>
          <w:rFonts w:cstheme="minorHAnsi"/>
        </w:rPr>
        <w:t>For each student, these values ar</w:t>
      </w:r>
      <w:r>
        <w:rPr>
          <w:rFonts w:cstheme="minorHAnsi"/>
        </w:rPr>
        <w:t xml:space="preserve">e normalized to sum up to 1000 and then monotonically assigned as </w:t>
      </w:r>
      <m:oMath>
        <m:sSub>
          <m:sSubPr>
            <m:ctrlPr>
              <w:rPr>
                <w:rFonts w:ascii="Cambria Math" w:hAnsi="Cambria Math" w:cstheme="minorHAnsi"/>
                <w:i/>
              </w:rPr>
            </m:ctrlPr>
          </m:sSubPr>
          <m:e>
            <m:r>
              <w:rPr>
                <w:rFonts w:ascii="Cambria Math" w:hAnsi="Cambria Math" w:cstheme="minorHAnsi"/>
              </w:rPr>
              <m:t>u</m:t>
            </m:r>
          </m:e>
          <m:sub>
            <m:r>
              <w:rPr>
                <w:rFonts w:ascii="Cambria Math" w:hAnsi="Cambria Math" w:cstheme="minorHAnsi"/>
              </w:rPr>
              <m:t>ij</m:t>
            </m:r>
          </m:sub>
        </m:sSub>
      </m:oMath>
      <w:r>
        <w:rPr>
          <w:rFonts w:eastAsiaTheme="minorEastAsia" w:cstheme="minorHAnsi"/>
        </w:rPr>
        <w:t xml:space="preserve"> values in the same order as the already assigned </w:t>
      </w:r>
      <m:oMath>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ij</m:t>
            </m:r>
          </m:sub>
        </m:sSub>
      </m:oMath>
      <w:r w:rsidR="00976C92">
        <w:rPr>
          <w:rFonts w:cstheme="minorHAnsi"/>
        </w:rPr>
        <w:t xml:space="preserve"> </w:t>
      </w:r>
      <w:r>
        <w:rPr>
          <w:rFonts w:cstheme="minorHAnsi"/>
        </w:rPr>
        <w:t>values determined above.</w:t>
      </w:r>
      <w:bookmarkStart w:id="2" w:name="_Appendix_C._Proof"/>
      <w:bookmarkStart w:id="3" w:name="_Appendix_D._Market"/>
      <w:bookmarkStart w:id="4" w:name="_Appendix_C._Market"/>
      <w:bookmarkEnd w:id="2"/>
      <w:bookmarkEnd w:id="3"/>
      <w:bookmarkEnd w:id="4"/>
    </w:p>
    <w:p w14:paraId="6EA0D7CF" w14:textId="58E7E2C0" w:rsidR="009A51EE" w:rsidRDefault="009A51EE" w:rsidP="009A51EE">
      <w:pPr>
        <w:pStyle w:val="Heading2"/>
        <w:tabs>
          <w:tab w:val="left" w:pos="1440"/>
          <w:tab w:val="left" w:pos="5760"/>
        </w:tabs>
        <w:contextualSpacing/>
      </w:pPr>
      <w:bookmarkStart w:id="5" w:name="_Appendix_D._Market_1"/>
      <w:bookmarkEnd w:id="5"/>
      <w:r>
        <w:rPr>
          <w:b/>
          <w:bCs/>
          <w:iCs/>
          <w:color w:val="4F81BD" w:themeColor="accent1"/>
          <w:sz w:val="28"/>
          <w:szCs w:val="28"/>
        </w:rPr>
        <w:t xml:space="preserve">Appendix B. </w:t>
      </w:r>
      <w:r w:rsidRPr="009A51EE">
        <w:rPr>
          <w:b/>
          <w:bCs/>
          <w:iCs/>
          <w:color w:val="4F81BD" w:themeColor="accent1"/>
          <w:sz w:val="28"/>
          <w:szCs w:val="28"/>
        </w:rPr>
        <w:t xml:space="preserve">Further incentive compatibility results when </w:t>
      </w:r>
      <m:oMath>
        <m:sSub>
          <m:sSubPr>
            <m:ctrlPr>
              <w:rPr>
                <w:rFonts w:ascii="Cambria Math" w:hAnsi="Cambria Math"/>
                <w:b/>
                <w:bCs/>
                <w:i/>
                <w:iCs/>
                <w:color w:val="4F81BD" w:themeColor="accent1"/>
                <w:sz w:val="28"/>
                <w:szCs w:val="28"/>
              </w:rPr>
            </m:ctrlPr>
          </m:sSubPr>
          <m:e>
            <m:r>
              <m:rPr>
                <m:sty m:val="bi"/>
              </m:rPr>
              <w:rPr>
                <w:rFonts w:ascii="Cambria Math" w:hAnsi="Cambria Math"/>
                <w:color w:val="4F81BD" w:themeColor="accent1"/>
                <w:sz w:val="28"/>
                <w:szCs w:val="28"/>
              </w:rPr>
              <m:t>w</m:t>
            </m:r>
          </m:e>
          <m:sub>
            <m:r>
              <m:rPr>
                <m:sty m:val="bi"/>
              </m:rPr>
              <w:rPr>
                <w:rFonts w:ascii="Cambria Math" w:hAnsi="Cambria Math"/>
                <w:color w:val="4F81BD" w:themeColor="accent1"/>
                <w:sz w:val="28"/>
                <w:szCs w:val="28"/>
              </w:rPr>
              <m:t>i</m:t>
            </m:r>
          </m:sub>
        </m:sSub>
      </m:oMath>
      <w:r w:rsidR="008E2C92">
        <w:rPr>
          <w:b/>
          <w:bCs/>
          <w:iCs/>
          <w:color w:val="4F81BD" w:themeColor="accent1"/>
          <w:sz w:val="28"/>
          <w:szCs w:val="28"/>
        </w:rPr>
        <w:t xml:space="preserve"> </w:t>
      </w:r>
      <w:r w:rsidRPr="009A51EE">
        <w:rPr>
          <w:b/>
          <w:bCs/>
          <w:iCs/>
          <w:color w:val="4F81BD" w:themeColor="accent1"/>
          <w:sz w:val="28"/>
          <w:szCs w:val="28"/>
        </w:rPr>
        <w:t xml:space="preserve">for truthful students is equal to 0, 0.25, 0.5, and 0.75, and </w:t>
      </w:r>
      <w:proofErr w:type="gramStart"/>
      <w:r w:rsidRPr="009A51EE">
        <w:rPr>
          <w:b/>
          <w:bCs/>
          <w:iCs/>
          <w:color w:val="4F81BD" w:themeColor="accent1"/>
          <w:sz w:val="28"/>
          <w:szCs w:val="28"/>
        </w:rPr>
        <w:t xml:space="preserve">when </w:t>
      </w:r>
      <w:proofErr w:type="gramEnd"/>
      <m:oMath>
        <m:r>
          <m:rPr>
            <m:sty m:val="bi"/>
          </m:rPr>
          <w:rPr>
            <w:rFonts w:ascii="Cambria Math" w:hAnsi="Cambria Math"/>
            <w:color w:val="4F81BD" w:themeColor="accent1"/>
            <w:sz w:val="28"/>
            <w:szCs w:val="28"/>
          </w:rPr>
          <m:t>P&gt;20%</m:t>
        </m:r>
      </m:oMath>
      <w:r>
        <w:rPr>
          <w:b/>
          <w:bCs/>
          <w:iCs/>
          <w:color w:val="4F81BD" w:themeColor="accent1"/>
          <w:sz w:val="28"/>
          <w:szCs w:val="28"/>
        </w:rPr>
        <w:t>.</w:t>
      </w:r>
    </w:p>
    <w:p w14:paraId="5E1AF8E3" w14:textId="726611BA" w:rsidR="00C4151C" w:rsidRDefault="006D2D63" w:rsidP="005725E5">
      <w:pPr>
        <w:tabs>
          <w:tab w:val="left" w:pos="1440"/>
          <w:tab w:val="left" w:pos="5760"/>
        </w:tabs>
        <w:ind w:firstLine="360"/>
        <w:contextualSpacing/>
      </w:pPr>
      <w:r>
        <w:t>In the first part of this appendix</w:t>
      </w:r>
      <w:r w:rsidR="005725E5">
        <w:t>, we assume that</w:t>
      </w:r>
      <w:r w:rsidR="005725E5">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o</w:t>
      </w:r>
      <w:r w:rsidR="00FB5045">
        <w:rPr>
          <w:rFonts w:eastAsiaTheme="minorEastAsia"/>
        </w:rPr>
        <w:t xml:space="preserve">f </w:t>
      </w:r>
      <w:r w:rsidR="00C4151C" w:rsidRPr="00785722">
        <w:t>truthful students</w:t>
      </w:r>
      <w:r>
        <w:t xml:space="preserve"> is</w:t>
      </w:r>
      <w:r w:rsidR="00FB5045">
        <w:t xml:space="preserve"> 0, </w:t>
      </w:r>
      <w:r w:rsidR="00C4151C" w:rsidRPr="00785722">
        <w:t>0.25</w:t>
      </w:r>
      <w:r w:rsidR="00FB5045">
        <w:t>,</w:t>
      </w:r>
      <w:r w:rsidR="00C4151C" w:rsidRPr="00785722">
        <w:t xml:space="preserve"> 0.5</w:t>
      </w:r>
      <w:r w:rsidR="00FB5045">
        <w:t>, and 0.75</w:t>
      </w:r>
      <w:r w:rsidR="005725E5">
        <w:t xml:space="preserve"> and show measurements similar to those shown in §5.3.</w:t>
      </w:r>
    </w:p>
    <w:p w14:paraId="2412E826" w14:textId="77777777" w:rsidR="005725E5" w:rsidRPr="005725E5" w:rsidRDefault="005725E5" w:rsidP="005725E5">
      <w:pPr>
        <w:tabs>
          <w:tab w:val="left" w:pos="1440"/>
          <w:tab w:val="left" w:pos="5760"/>
        </w:tabs>
        <w:ind w:firstLine="360"/>
        <w:contextualSpacing/>
      </w:pPr>
    </w:p>
    <w:p w14:paraId="59736EB9" w14:textId="60CB9DE2" w:rsidR="006C2C7B" w:rsidRDefault="00551F01" w:rsidP="006C2C7B">
      <w:pPr>
        <w:tabs>
          <w:tab w:val="left" w:pos="1440"/>
          <w:tab w:val="left" w:pos="5760"/>
        </w:tabs>
        <w:ind w:firstLine="360"/>
        <w:contextualSpacing/>
        <w:jc w:val="center"/>
        <w:rPr>
          <w:rFonts w:eastAsiaTheme="minorEastAsia"/>
        </w:rPr>
      </w:pPr>
      <w:r>
        <w:t xml:space="preserve">Figure </w:t>
      </w:r>
      <w:r w:rsidR="000A4312">
        <w:t>B.</w:t>
      </w:r>
      <w:r w:rsidR="007968E8">
        <w:t xml:space="preserve">1 </w:t>
      </w:r>
      <w:r w:rsidR="007968E8">
        <w:rPr>
          <w:rFonts w:eastAsiaTheme="minorEastAsia" w:cstheme="minorHAnsi"/>
        </w:rPr>
        <w:t>–</w:t>
      </w:r>
      <w:r w:rsidR="007968E8">
        <w:t xml:space="preserve"> </w:t>
      </w:r>
      <w:r w:rsidR="0029051B">
        <w:rPr>
          <w:rFonts w:eastAsiaTheme="minorEastAsia"/>
        </w:rPr>
        <w:t xml:space="preserve">Strategic </w:t>
      </w:r>
      <w:r w:rsidR="007968E8">
        <w:rPr>
          <w:rFonts w:eastAsiaTheme="minorEastAsia"/>
        </w:rPr>
        <w:t>u</w:t>
      </w:r>
      <w:r w:rsidR="0029051B">
        <w:rPr>
          <w:rFonts w:eastAsiaTheme="minorEastAsia"/>
        </w:rPr>
        <w:t>pside</w:t>
      </w:r>
      <w:r w:rsidR="0029051B">
        <w:t xml:space="preserve"> </w:t>
      </w:r>
      <w:r w:rsidR="006C2C7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5725E5">
        <w:t>for truthful students is 0</w:t>
      </w:r>
    </w:p>
    <w:p w14:paraId="47F1C406" w14:textId="799C5577" w:rsidR="00070E94" w:rsidRDefault="00070E94" w:rsidP="00DF2BA1">
      <w:pPr>
        <w:tabs>
          <w:tab w:val="left" w:pos="1440"/>
          <w:tab w:val="left" w:pos="5760"/>
        </w:tabs>
        <w:ind w:firstLine="360"/>
        <w:contextualSpacing/>
      </w:pPr>
      <w:r>
        <w:rPr>
          <w:noProof/>
        </w:rPr>
        <w:lastRenderedPageBreak/>
        <w:drawing>
          <wp:inline distT="0" distB="0" distL="0" distR="0" wp14:anchorId="7D87A233" wp14:editId="4C9D5348">
            <wp:extent cx="5695950" cy="1578634"/>
            <wp:effectExtent l="0" t="0" r="0" b="254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3B01A95" w14:textId="77777777" w:rsidR="006C2C7B" w:rsidRDefault="006C2C7B" w:rsidP="00DF2BA1">
      <w:pPr>
        <w:tabs>
          <w:tab w:val="left" w:pos="1440"/>
          <w:tab w:val="left" w:pos="5760"/>
        </w:tabs>
        <w:ind w:firstLine="360"/>
        <w:contextualSpacing/>
      </w:pPr>
    </w:p>
    <w:p w14:paraId="6844539D" w14:textId="66C34201" w:rsidR="006C2C7B" w:rsidRDefault="00551F01" w:rsidP="006C2C7B">
      <w:pPr>
        <w:tabs>
          <w:tab w:val="left" w:pos="1440"/>
          <w:tab w:val="left" w:pos="5760"/>
        </w:tabs>
        <w:ind w:firstLine="360"/>
        <w:contextualSpacing/>
        <w:jc w:val="center"/>
        <w:rPr>
          <w:rFonts w:eastAsiaTheme="minorEastAsia"/>
        </w:rPr>
      </w:pPr>
      <w:r>
        <w:t xml:space="preserve">Figure </w:t>
      </w:r>
      <w:r w:rsidR="000A4312">
        <w:t>B.</w:t>
      </w:r>
      <w:r w:rsidR="007968E8">
        <w:t xml:space="preserve">2 </w:t>
      </w:r>
      <w:r w:rsidR="007968E8">
        <w:rPr>
          <w:rFonts w:eastAsiaTheme="minorEastAsia" w:cstheme="minorHAnsi"/>
        </w:rPr>
        <w:t>–</w:t>
      </w:r>
      <w:r w:rsidR="007968E8">
        <w:t xml:space="preserve"> </w:t>
      </w:r>
      <w:r w:rsidR="0029051B">
        <w:rPr>
          <w:rFonts w:eastAsiaTheme="minorEastAsia"/>
        </w:rPr>
        <w:t xml:space="preserve">Strategic </w:t>
      </w:r>
      <w:r w:rsidR="007968E8">
        <w:rPr>
          <w:rFonts w:eastAsiaTheme="minorEastAsia"/>
        </w:rPr>
        <w:t>u</w:t>
      </w:r>
      <w:r w:rsidR="0029051B">
        <w:rPr>
          <w:rFonts w:eastAsiaTheme="minorEastAsia"/>
        </w:rPr>
        <w:t>pside</w:t>
      </w:r>
      <w:r w:rsidR="006C2C7B">
        <w:t xml:space="preserve"> 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6C2C7B">
        <w:t xml:space="preserve"> for truthful students is 0.25</w:t>
      </w:r>
    </w:p>
    <w:p w14:paraId="34318FF3" w14:textId="70503378" w:rsidR="004801C1" w:rsidRDefault="006C2C7B" w:rsidP="00F8132E">
      <w:pPr>
        <w:tabs>
          <w:tab w:val="left" w:pos="1440"/>
          <w:tab w:val="left" w:pos="5760"/>
        </w:tabs>
        <w:ind w:left="540"/>
        <w:contextualSpacing/>
        <w:jc w:val="center"/>
        <w:rPr>
          <w:rFonts w:eastAsiaTheme="minorEastAsia"/>
        </w:rPr>
      </w:pPr>
      <w:r>
        <w:rPr>
          <w:noProof/>
        </w:rPr>
        <w:drawing>
          <wp:inline distT="0" distB="0" distL="0" distR="0" wp14:anchorId="4FD3631A" wp14:editId="2E9F3750">
            <wp:extent cx="5695950" cy="1380226"/>
            <wp:effectExtent l="0" t="0" r="0" b="10795"/>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7DBCAC8" w14:textId="77777777" w:rsidR="006C2C7B" w:rsidRDefault="006C2C7B" w:rsidP="006C2C7B">
      <w:pPr>
        <w:tabs>
          <w:tab w:val="left" w:pos="1440"/>
          <w:tab w:val="left" w:pos="5760"/>
        </w:tabs>
        <w:ind w:firstLine="360"/>
        <w:contextualSpacing/>
        <w:jc w:val="center"/>
      </w:pPr>
    </w:p>
    <w:p w14:paraId="4973B291" w14:textId="54D227E0" w:rsidR="006C2C7B" w:rsidRDefault="00551F01" w:rsidP="006C2C7B">
      <w:pPr>
        <w:tabs>
          <w:tab w:val="left" w:pos="1440"/>
          <w:tab w:val="left" w:pos="5760"/>
        </w:tabs>
        <w:ind w:firstLine="360"/>
        <w:contextualSpacing/>
        <w:jc w:val="center"/>
        <w:rPr>
          <w:rFonts w:eastAsiaTheme="minorEastAsia"/>
        </w:rPr>
      </w:pPr>
      <w:r>
        <w:t xml:space="preserve">Figure </w:t>
      </w:r>
      <w:r w:rsidR="000A4312">
        <w:t>B.</w:t>
      </w:r>
      <w:r w:rsidR="007968E8">
        <w:t xml:space="preserve">3 </w:t>
      </w:r>
      <w:r w:rsidR="007968E8">
        <w:rPr>
          <w:rFonts w:eastAsiaTheme="minorEastAsia" w:cstheme="minorHAnsi"/>
        </w:rPr>
        <w:t>–</w:t>
      </w:r>
      <w:r w:rsidR="007968E8">
        <w:t xml:space="preserve"> </w:t>
      </w:r>
      <w:r w:rsidR="0029051B">
        <w:rPr>
          <w:rFonts w:eastAsiaTheme="minorEastAsia"/>
        </w:rPr>
        <w:t xml:space="preserve">Strategic </w:t>
      </w:r>
      <w:r w:rsidR="007968E8">
        <w:rPr>
          <w:rFonts w:eastAsiaTheme="minorEastAsia"/>
        </w:rPr>
        <w:t>u</w:t>
      </w:r>
      <w:r w:rsidR="0029051B">
        <w:rPr>
          <w:rFonts w:eastAsiaTheme="minorEastAsia"/>
        </w:rPr>
        <w:t>pside</w:t>
      </w:r>
      <w:r w:rsidR="0029051B">
        <w:t xml:space="preserve"> </w:t>
      </w:r>
      <w:r w:rsidR="006C2C7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6C2C7B">
        <w:t xml:space="preserve"> for truthful students is 0.5</w:t>
      </w:r>
    </w:p>
    <w:p w14:paraId="044F1194" w14:textId="00E0F03B" w:rsidR="006C2C7B" w:rsidRDefault="006C2C7B" w:rsidP="00F8132E">
      <w:pPr>
        <w:tabs>
          <w:tab w:val="left" w:pos="1440"/>
          <w:tab w:val="left" w:pos="5760"/>
        </w:tabs>
        <w:ind w:left="540"/>
        <w:contextualSpacing/>
        <w:jc w:val="center"/>
        <w:rPr>
          <w:rFonts w:eastAsiaTheme="minorEastAsia"/>
        </w:rPr>
      </w:pPr>
      <w:r>
        <w:rPr>
          <w:noProof/>
        </w:rPr>
        <w:drawing>
          <wp:inline distT="0" distB="0" distL="0" distR="0" wp14:anchorId="506CBDC2" wp14:editId="2BA1A2D3">
            <wp:extent cx="5695950" cy="1345720"/>
            <wp:effectExtent l="0" t="0" r="0" b="6985"/>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C87802E" w14:textId="77777777" w:rsidR="006C2C7B" w:rsidRDefault="006C2C7B" w:rsidP="00F8132E">
      <w:pPr>
        <w:tabs>
          <w:tab w:val="left" w:pos="1440"/>
          <w:tab w:val="left" w:pos="5760"/>
        </w:tabs>
        <w:ind w:left="540"/>
        <w:contextualSpacing/>
        <w:jc w:val="center"/>
        <w:rPr>
          <w:rFonts w:eastAsiaTheme="minorEastAsia"/>
        </w:rPr>
      </w:pPr>
    </w:p>
    <w:p w14:paraId="7324FBBD" w14:textId="49D8D18F" w:rsidR="006C2C7B" w:rsidRDefault="006C2C7B" w:rsidP="006C2C7B">
      <w:pPr>
        <w:tabs>
          <w:tab w:val="left" w:pos="1440"/>
          <w:tab w:val="left" w:pos="5760"/>
        </w:tabs>
        <w:ind w:firstLine="360"/>
        <w:contextualSpacing/>
        <w:jc w:val="center"/>
        <w:rPr>
          <w:rFonts w:eastAsiaTheme="minorEastAsia"/>
        </w:rPr>
      </w:pPr>
      <w:r>
        <w:t xml:space="preserve">Figure </w:t>
      </w:r>
      <w:r w:rsidR="000A4312">
        <w:t>B.</w:t>
      </w:r>
      <w:r w:rsidR="007968E8">
        <w:t xml:space="preserve">4 </w:t>
      </w:r>
      <w:r w:rsidR="007968E8">
        <w:rPr>
          <w:rFonts w:eastAsiaTheme="minorEastAsia" w:cstheme="minorHAnsi"/>
        </w:rPr>
        <w:t>–</w:t>
      </w:r>
      <w:r w:rsidR="007968E8">
        <w:t xml:space="preserve"> </w:t>
      </w:r>
      <w:r w:rsidR="0029051B">
        <w:rPr>
          <w:rFonts w:eastAsiaTheme="minorEastAsia"/>
        </w:rPr>
        <w:t xml:space="preserve">Strategic </w:t>
      </w:r>
      <w:r w:rsidR="007968E8">
        <w:rPr>
          <w:rFonts w:eastAsiaTheme="minorEastAsia"/>
        </w:rPr>
        <w:t>u</w:t>
      </w:r>
      <w:r w:rsidR="0029051B">
        <w:rPr>
          <w:rFonts w:eastAsiaTheme="minorEastAsia"/>
        </w:rPr>
        <w:t>pside</w:t>
      </w:r>
      <w:r w:rsidR="005725E5">
        <w:t xml:space="preserve"> 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t xml:space="preserve"> for truthful students is 0.75</w:t>
      </w:r>
    </w:p>
    <w:p w14:paraId="58228F9F" w14:textId="3C6ADC73" w:rsidR="006C2C7B" w:rsidRDefault="006C2C7B" w:rsidP="00F8132E">
      <w:pPr>
        <w:tabs>
          <w:tab w:val="left" w:pos="1440"/>
          <w:tab w:val="left" w:pos="5760"/>
        </w:tabs>
        <w:ind w:left="540"/>
        <w:contextualSpacing/>
        <w:jc w:val="center"/>
        <w:rPr>
          <w:rFonts w:eastAsiaTheme="minorEastAsia"/>
        </w:rPr>
      </w:pPr>
      <w:r>
        <w:rPr>
          <w:noProof/>
        </w:rPr>
        <w:drawing>
          <wp:inline distT="0" distB="0" distL="0" distR="0" wp14:anchorId="6A97EC1D" wp14:editId="5B1808F9">
            <wp:extent cx="5695950" cy="1362973"/>
            <wp:effectExtent l="0" t="0" r="0" b="8890"/>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2363B3F" w14:textId="77777777" w:rsidR="007B7433" w:rsidRDefault="007B7433" w:rsidP="007B7433">
      <w:pPr>
        <w:tabs>
          <w:tab w:val="left" w:pos="1440"/>
          <w:tab w:val="left" w:pos="5760"/>
        </w:tabs>
        <w:ind w:left="540"/>
        <w:contextualSpacing/>
        <w:jc w:val="center"/>
      </w:pPr>
    </w:p>
    <w:p w14:paraId="7BEE8A76" w14:textId="5EA46C64" w:rsidR="006C2C7B" w:rsidRDefault="00551F01" w:rsidP="00E642CB">
      <w:pPr>
        <w:tabs>
          <w:tab w:val="left" w:pos="1440"/>
          <w:tab w:val="left" w:pos="5760"/>
        </w:tabs>
        <w:ind w:left="540"/>
        <w:contextualSpacing/>
        <w:jc w:val="center"/>
        <w:rPr>
          <w:rFonts w:eastAsiaTheme="minorEastAsia"/>
        </w:rPr>
      </w:pPr>
      <w:r>
        <w:lastRenderedPageBreak/>
        <w:t xml:space="preserve">Figure </w:t>
      </w:r>
      <w:r w:rsidR="000A4312">
        <w:t>B.</w:t>
      </w:r>
      <w:r w:rsidR="007968E8">
        <w:t xml:space="preserve">5 </w:t>
      </w:r>
      <w:r w:rsidR="007968E8">
        <w:rPr>
          <w:rFonts w:eastAsiaTheme="minorEastAsia" w:cstheme="minorHAnsi"/>
        </w:rPr>
        <w:t>–</w:t>
      </w:r>
      <w:r w:rsidR="007968E8">
        <w:t xml:space="preserve"> </w:t>
      </w:r>
      <w:r w:rsidR="0029051B">
        <w:rPr>
          <w:rFonts w:eastAsiaTheme="minorEastAsia"/>
        </w:rPr>
        <w:t xml:space="preserve">Strategic </w:t>
      </w:r>
      <w:r w:rsidR="007968E8">
        <w:rPr>
          <w:rFonts w:eastAsiaTheme="minorEastAsia"/>
        </w:rPr>
        <w:t>d</w:t>
      </w:r>
      <w:r w:rsidR="0029051B">
        <w:rPr>
          <w:rFonts w:eastAsiaTheme="minorEastAsia"/>
        </w:rPr>
        <w:t>ownside</w:t>
      </w:r>
      <w:r w:rsidR="0029051B">
        <w:t xml:space="preserve"> </w:t>
      </w:r>
      <w:r w:rsidR="00E642C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642CB">
        <w:t xml:space="preserve"> for truthful students is zero</w:t>
      </w:r>
      <w:r w:rsidR="006C2C7B">
        <w:rPr>
          <w:noProof/>
        </w:rPr>
        <w:drawing>
          <wp:inline distT="0" distB="0" distL="0" distR="0" wp14:anchorId="186FD7CE" wp14:editId="67DBDB96">
            <wp:extent cx="4572000" cy="1492370"/>
            <wp:effectExtent l="0" t="0" r="0" b="1270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354914D" w14:textId="77777777" w:rsidR="006C2C7B" w:rsidRDefault="006C2C7B" w:rsidP="00F8132E">
      <w:pPr>
        <w:tabs>
          <w:tab w:val="left" w:pos="1440"/>
          <w:tab w:val="left" w:pos="5760"/>
        </w:tabs>
        <w:ind w:left="540"/>
        <w:contextualSpacing/>
        <w:jc w:val="center"/>
      </w:pPr>
    </w:p>
    <w:p w14:paraId="1DDB51E3" w14:textId="55112727" w:rsidR="006C2C7B" w:rsidRDefault="00551F01" w:rsidP="007B7433">
      <w:pPr>
        <w:tabs>
          <w:tab w:val="left" w:pos="1440"/>
          <w:tab w:val="left" w:pos="5760"/>
        </w:tabs>
        <w:ind w:left="540"/>
        <w:contextualSpacing/>
        <w:jc w:val="center"/>
      </w:pPr>
      <w:r>
        <w:t xml:space="preserve">Figure </w:t>
      </w:r>
      <w:r w:rsidR="000A4312">
        <w:t>B.</w:t>
      </w:r>
      <w:r w:rsidR="007968E8">
        <w:t xml:space="preserve">6 </w:t>
      </w:r>
      <w:r w:rsidR="007968E8">
        <w:rPr>
          <w:rFonts w:eastAsiaTheme="minorEastAsia" w:cstheme="minorHAnsi"/>
        </w:rPr>
        <w:t>–</w:t>
      </w:r>
      <w:r w:rsidR="007968E8">
        <w:t xml:space="preserve"> </w:t>
      </w:r>
      <w:r w:rsidR="0029051B">
        <w:rPr>
          <w:rFonts w:eastAsiaTheme="minorEastAsia"/>
        </w:rPr>
        <w:t>Strategic Downside</w:t>
      </w:r>
      <w:r w:rsidR="0029051B">
        <w:t xml:space="preserve"> </w:t>
      </w:r>
      <w:r w:rsidR="00E642C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642CB">
        <w:t xml:space="preserve"> for truthful students is 0.25</w:t>
      </w:r>
      <w:r w:rsidR="00E642CB">
        <w:rPr>
          <w:noProof/>
        </w:rPr>
        <w:t xml:space="preserve"> </w:t>
      </w:r>
      <w:r w:rsidR="007B7433">
        <w:rPr>
          <w:noProof/>
        </w:rPr>
        <w:drawing>
          <wp:inline distT="0" distB="0" distL="0" distR="0" wp14:anchorId="49158A5A" wp14:editId="7537BB0B">
            <wp:extent cx="4572000" cy="1664898"/>
            <wp:effectExtent l="0" t="0" r="0" b="12065"/>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64B11C" w14:textId="77777777" w:rsidR="007B7433" w:rsidRDefault="007B7433" w:rsidP="007B7433">
      <w:pPr>
        <w:tabs>
          <w:tab w:val="left" w:pos="1440"/>
          <w:tab w:val="left" w:pos="5760"/>
        </w:tabs>
        <w:ind w:left="540"/>
        <w:contextualSpacing/>
        <w:jc w:val="center"/>
      </w:pPr>
    </w:p>
    <w:p w14:paraId="7D7FBD8C" w14:textId="0C66A667" w:rsidR="00E642CB" w:rsidRDefault="00551F01" w:rsidP="007B7433">
      <w:pPr>
        <w:tabs>
          <w:tab w:val="left" w:pos="1440"/>
          <w:tab w:val="left" w:pos="5760"/>
        </w:tabs>
        <w:ind w:left="540"/>
        <w:contextualSpacing/>
        <w:jc w:val="center"/>
      </w:pPr>
      <w:r>
        <w:t xml:space="preserve">Figure </w:t>
      </w:r>
      <w:r w:rsidR="000A4312">
        <w:t>B.</w:t>
      </w:r>
      <w:r w:rsidR="007968E8">
        <w:t xml:space="preserve">7 </w:t>
      </w:r>
      <w:r w:rsidR="007968E8">
        <w:rPr>
          <w:rFonts w:eastAsiaTheme="minorEastAsia" w:cstheme="minorHAnsi"/>
        </w:rPr>
        <w:t>–</w:t>
      </w:r>
      <w:r w:rsidR="00E642CB">
        <w:t xml:space="preserve"> The </w:t>
      </w:r>
      <w:r w:rsidR="0029051B">
        <w:rPr>
          <w:rFonts w:eastAsiaTheme="minorEastAsia"/>
        </w:rPr>
        <w:t>Strategic Downside</w:t>
      </w:r>
      <w:r w:rsidR="0029051B">
        <w:t xml:space="preserve"> </w:t>
      </w:r>
      <w:r w:rsidR="00E642C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642CB">
        <w:t xml:space="preserve"> for truthful students is 0.5</w:t>
      </w:r>
    </w:p>
    <w:p w14:paraId="2BC71D88" w14:textId="3D45A744" w:rsidR="00E642CB" w:rsidRDefault="00E642CB" w:rsidP="007B7433">
      <w:pPr>
        <w:tabs>
          <w:tab w:val="left" w:pos="1440"/>
          <w:tab w:val="left" w:pos="5760"/>
        </w:tabs>
        <w:ind w:left="540"/>
        <w:contextualSpacing/>
        <w:jc w:val="center"/>
      </w:pPr>
      <w:r>
        <w:rPr>
          <w:noProof/>
        </w:rPr>
        <w:drawing>
          <wp:inline distT="0" distB="0" distL="0" distR="0" wp14:anchorId="342EA848" wp14:editId="05D62AC7">
            <wp:extent cx="4572000" cy="1630392"/>
            <wp:effectExtent l="0" t="0" r="0" b="8255"/>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6209312" w14:textId="77777777" w:rsidR="006C2C7B" w:rsidRDefault="006C2C7B" w:rsidP="00F8132E">
      <w:pPr>
        <w:tabs>
          <w:tab w:val="left" w:pos="1440"/>
          <w:tab w:val="left" w:pos="5760"/>
        </w:tabs>
        <w:ind w:left="540"/>
        <w:contextualSpacing/>
        <w:jc w:val="center"/>
      </w:pPr>
    </w:p>
    <w:p w14:paraId="29CB9D79" w14:textId="023F6AF9" w:rsidR="006C2C7B" w:rsidRDefault="00551F01" w:rsidP="00F8132E">
      <w:pPr>
        <w:tabs>
          <w:tab w:val="left" w:pos="1440"/>
          <w:tab w:val="left" w:pos="5760"/>
        </w:tabs>
        <w:ind w:left="540"/>
        <w:contextualSpacing/>
        <w:jc w:val="center"/>
      </w:pPr>
      <w:r>
        <w:t xml:space="preserve">Figure </w:t>
      </w:r>
      <w:r w:rsidR="000A4312">
        <w:t>B.</w:t>
      </w:r>
      <w:r w:rsidR="007968E8">
        <w:t xml:space="preserve">8 </w:t>
      </w:r>
      <w:r w:rsidR="007968E8">
        <w:rPr>
          <w:rFonts w:eastAsiaTheme="minorEastAsia" w:cstheme="minorHAnsi"/>
        </w:rPr>
        <w:t>–</w:t>
      </w:r>
      <w:r w:rsidR="00E642CB">
        <w:t xml:space="preserve"> The </w:t>
      </w:r>
      <w:r w:rsidR="0029051B">
        <w:rPr>
          <w:rFonts w:eastAsiaTheme="minorEastAsia"/>
        </w:rPr>
        <w:t>Strategic Downside</w:t>
      </w:r>
      <w:r w:rsidR="0029051B">
        <w:t xml:space="preserve"> </w:t>
      </w:r>
      <w:r w:rsidR="00E642CB">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642CB">
        <w:t xml:space="preserve"> for truthful students is 0.7</w:t>
      </w:r>
      <w:r w:rsidR="00E20B2C">
        <w:t>5</w:t>
      </w:r>
    </w:p>
    <w:p w14:paraId="3CFF5225" w14:textId="50D10B6E" w:rsidR="00E642CB" w:rsidRDefault="00E642CB" w:rsidP="00F8132E">
      <w:pPr>
        <w:tabs>
          <w:tab w:val="left" w:pos="1440"/>
          <w:tab w:val="left" w:pos="5760"/>
        </w:tabs>
        <w:ind w:left="540"/>
        <w:contextualSpacing/>
        <w:jc w:val="center"/>
      </w:pPr>
      <w:r>
        <w:rPr>
          <w:noProof/>
        </w:rPr>
        <w:drawing>
          <wp:inline distT="0" distB="0" distL="0" distR="0" wp14:anchorId="7EB06E46" wp14:editId="0DFA214E">
            <wp:extent cx="4572000" cy="1768415"/>
            <wp:effectExtent l="0" t="0" r="0" b="3810"/>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044DCCA" w14:textId="77777777" w:rsidR="006C2C7B" w:rsidRDefault="006C2C7B" w:rsidP="00F8132E">
      <w:pPr>
        <w:tabs>
          <w:tab w:val="left" w:pos="1440"/>
          <w:tab w:val="left" w:pos="5760"/>
        </w:tabs>
        <w:ind w:left="540"/>
        <w:contextualSpacing/>
        <w:jc w:val="center"/>
        <w:rPr>
          <w:rFonts w:eastAsiaTheme="minorEastAsia"/>
        </w:rPr>
      </w:pPr>
    </w:p>
    <w:p w14:paraId="46B2A467" w14:textId="779EE92A" w:rsidR="00E20B2C" w:rsidRDefault="00551F01" w:rsidP="00E20B2C">
      <w:pPr>
        <w:tabs>
          <w:tab w:val="left" w:pos="1440"/>
          <w:tab w:val="left" w:pos="5760"/>
        </w:tabs>
        <w:ind w:left="540"/>
        <w:contextualSpacing/>
        <w:jc w:val="center"/>
      </w:pPr>
      <w:r>
        <w:t xml:space="preserve">Figure </w:t>
      </w:r>
      <w:r w:rsidR="000A4312">
        <w:t>B.</w:t>
      </w:r>
      <w:r w:rsidR="007968E8">
        <w:t xml:space="preserve">9 </w:t>
      </w:r>
      <w:r w:rsidR="007968E8">
        <w:rPr>
          <w:rFonts w:eastAsiaTheme="minorEastAsia" w:cstheme="minorHAnsi"/>
        </w:rPr>
        <w:t>–</w:t>
      </w:r>
      <w:r w:rsidR="00E20B2C">
        <w:t xml:space="preserve"> T</w:t>
      </w:r>
      <w:r w:rsidR="0029051B">
        <w:t>he Net Benefit</w:t>
      </w:r>
      <w:r w:rsidR="00E20B2C">
        <w:t xml:space="preserve"> 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20B2C">
        <w:t xml:space="preserve"> for truthful students is zero</w:t>
      </w:r>
    </w:p>
    <w:p w14:paraId="5FACCF77" w14:textId="2962E66D" w:rsidR="00E20B2C" w:rsidRDefault="00E779F5" w:rsidP="00F8132E">
      <w:pPr>
        <w:tabs>
          <w:tab w:val="left" w:pos="1440"/>
          <w:tab w:val="left" w:pos="5760"/>
        </w:tabs>
        <w:ind w:left="540"/>
        <w:contextualSpacing/>
        <w:jc w:val="center"/>
        <w:rPr>
          <w:rFonts w:eastAsiaTheme="minorEastAsia"/>
        </w:rPr>
      </w:pPr>
      <w:r>
        <w:rPr>
          <w:noProof/>
        </w:rPr>
        <w:drawing>
          <wp:inline distT="0" distB="0" distL="0" distR="0" wp14:anchorId="522EA9E1" wp14:editId="688CDA72">
            <wp:extent cx="4572000" cy="1587260"/>
            <wp:effectExtent l="0" t="0" r="0" b="13335"/>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2D2123D" w14:textId="5B04B513" w:rsidR="00E20B2C" w:rsidRDefault="007968E8" w:rsidP="00E20B2C">
      <w:pPr>
        <w:tabs>
          <w:tab w:val="left" w:pos="1440"/>
          <w:tab w:val="left" w:pos="5760"/>
        </w:tabs>
        <w:ind w:left="540"/>
        <w:contextualSpacing/>
        <w:jc w:val="center"/>
      </w:pPr>
      <w:r>
        <w:t xml:space="preserve">Figure </w:t>
      </w:r>
      <w:r w:rsidR="000A4312">
        <w:t>B.</w:t>
      </w:r>
      <w:r>
        <w:t xml:space="preserve">10 </w:t>
      </w:r>
      <w:r>
        <w:rPr>
          <w:rFonts w:eastAsiaTheme="minorEastAsia" w:cstheme="minorHAnsi"/>
        </w:rPr>
        <w:t>–</w:t>
      </w:r>
      <w:r w:rsidR="0029051B">
        <w:t xml:space="preserve"> The Net Benefit</w:t>
      </w:r>
      <w:r w:rsidR="00E20B2C">
        <w:t xml:space="preserve"> 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20B2C">
        <w:t xml:space="preserve"> for truthful students is 0.25</w:t>
      </w:r>
    </w:p>
    <w:p w14:paraId="327592A7" w14:textId="6B3B9E2C" w:rsidR="00E20B2C" w:rsidRDefault="00E779F5" w:rsidP="00F8132E">
      <w:pPr>
        <w:tabs>
          <w:tab w:val="left" w:pos="1440"/>
          <w:tab w:val="left" w:pos="5760"/>
        </w:tabs>
        <w:ind w:left="540"/>
        <w:contextualSpacing/>
        <w:jc w:val="center"/>
        <w:rPr>
          <w:rFonts w:eastAsiaTheme="minorEastAsia"/>
        </w:rPr>
      </w:pPr>
      <w:r>
        <w:rPr>
          <w:noProof/>
        </w:rPr>
        <w:drawing>
          <wp:inline distT="0" distB="0" distL="0" distR="0" wp14:anchorId="692FED1A" wp14:editId="216D66C5">
            <wp:extent cx="4572000" cy="1457864"/>
            <wp:effectExtent l="0" t="0" r="0" b="9525"/>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EE265FF" w14:textId="77777777" w:rsidR="00E779F5" w:rsidRDefault="00E779F5" w:rsidP="00E20B2C">
      <w:pPr>
        <w:tabs>
          <w:tab w:val="left" w:pos="1440"/>
          <w:tab w:val="left" w:pos="5760"/>
        </w:tabs>
        <w:ind w:left="540"/>
        <w:contextualSpacing/>
        <w:jc w:val="center"/>
      </w:pPr>
    </w:p>
    <w:p w14:paraId="04755FBD" w14:textId="247AB41C" w:rsidR="00E20B2C" w:rsidRDefault="007968E8" w:rsidP="00E20B2C">
      <w:pPr>
        <w:tabs>
          <w:tab w:val="left" w:pos="1440"/>
          <w:tab w:val="left" w:pos="5760"/>
        </w:tabs>
        <w:ind w:left="540"/>
        <w:contextualSpacing/>
        <w:jc w:val="center"/>
      </w:pPr>
      <w:r>
        <w:t xml:space="preserve">Figure </w:t>
      </w:r>
      <w:r w:rsidR="000A4312">
        <w:t>B.</w:t>
      </w:r>
      <w:r>
        <w:t xml:space="preserve">11 </w:t>
      </w:r>
      <w:r>
        <w:rPr>
          <w:rFonts w:eastAsiaTheme="minorEastAsia" w:cstheme="minorHAnsi"/>
        </w:rPr>
        <w:t>–</w:t>
      </w:r>
      <w:r w:rsidR="00E20B2C">
        <w:t xml:space="preserve"> The </w:t>
      </w:r>
      <w:r w:rsidR="0029051B">
        <w:t xml:space="preserve">Net Benefit </w:t>
      </w:r>
      <w:r w:rsidR="00E20B2C">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20B2C">
        <w:t xml:space="preserve"> for truthful students is 0.5</w:t>
      </w:r>
    </w:p>
    <w:p w14:paraId="318CA9DC" w14:textId="5D9D1A06" w:rsidR="00E20B2C" w:rsidRDefault="00E779F5" w:rsidP="00F8132E">
      <w:pPr>
        <w:tabs>
          <w:tab w:val="left" w:pos="1440"/>
          <w:tab w:val="left" w:pos="5760"/>
        </w:tabs>
        <w:ind w:left="540"/>
        <w:contextualSpacing/>
        <w:jc w:val="center"/>
        <w:rPr>
          <w:rFonts w:eastAsiaTheme="minorEastAsia"/>
        </w:rPr>
      </w:pPr>
      <w:r>
        <w:rPr>
          <w:noProof/>
        </w:rPr>
        <w:drawing>
          <wp:inline distT="0" distB="0" distL="0" distR="0" wp14:anchorId="6EFC39F5" wp14:editId="74A8B056">
            <wp:extent cx="4572000" cy="1492370"/>
            <wp:effectExtent l="0" t="0" r="0" b="1270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5AA7F44" w14:textId="77777777" w:rsidR="00E779F5" w:rsidRDefault="00E779F5" w:rsidP="00F8132E">
      <w:pPr>
        <w:tabs>
          <w:tab w:val="left" w:pos="1440"/>
          <w:tab w:val="left" w:pos="5760"/>
        </w:tabs>
        <w:ind w:left="540"/>
        <w:contextualSpacing/>
        <w:jc w:val="center"/>
        <w:rPr>
          <w:rFonts w:eastAsiaTheme="minorEastAsia"/>
        </w:rPr>
      </w:pPr>
    </w:p>
    <w:p w14:paraId="5A3F7E44" w14:textId="734AF066" w:rsidR="00E20B2C" w:rsidRDefault="007968E8" w:rsidP="00E20B2C">
      <w:pPr>
        <w:tabs>
          <w:tab w:val="left" w:pos="1440"/>
          <w:tab w:val="left" w:pos="5760"/>
        </w:tabs>
        <w:ind w:left="540"/>
        <w:contextualSpacing/>
        <w:jc w:val="center"/>
      </w:pPr>
      <w:r>
        <w:t xml:space="preserve">Figure </w:t>
      </w:r>
      <w:r w:rsidR="000A4312">
        <w:t>B.</w:t>
      </w:r>
      <w:r>
        <w:t xml:space="preserve">12 </w:t>
      </w:r>
      <w:r>
        <w:rPr>
          <w:rFonts w:eastAsiaTheme="minorEastAsia" w:cstheme="minorHAnsi"/>
        </w:rPr>
        <w:t>–</w:t>
      </w:r>
      <w:r w:rsidR="00E20B2C">
        <w:t xml:space="preserve"> The </w:t>
      </w:r>
      <w:r w:rsidR="0029051B">
        <w:t xml:space="preserve">Net Benefit </w:t>
      </w:r>
      <w:r w:rsidR="00E20B2C">
        <w:t xml:space="preserve">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sidR="005725E5">
        <w:rPr>
          <w:rFonts w:eastAsiaTheme="minorEastAsia"/>
        </w:rPr>
        <w:t xml:space="preserve"> </w:t>
      </w:r>
      <w:r w:rsidR="00E20B2C">
        <w:t xml:space="preserve"> for truthful students is 0.75</w:t>
      </w:r>
    </w:p>
    <w:p w14:paraId="45CC3267" w14:textId="215D9EC9" w:rsidR="00E20B2C" w:rsidRDefault="00E779F5" w:rsidP="00F8132E">
      <w:pPr>
        <w:tabs>
          <w:tab w:val="left" w:pos="1440"/>
          <w:tab w:val="left" w:pos="5760"/>
        </w:tabs>
        <w:ind w:left="540"/>
        <w:contextualSpacing/>
        <w:jc w:val="center"/>
        <w:rPr>
          <w:rFonts w:eastAsiaTheme="minorEastAsia"/>
        </w:rPr>
      </w:pPr>
      <w:r>
        <w:rPr>
          <w:noProof/>
        </w:rPr>
        <w:drawing>
          <wp:inline distT="0" distB="0" distL="0" distR="0" wp14:anchorId="1FA14383" wp14:editId="4B6A317C">
            <wp:extent cx="4572000" cy="1509622"/>
            <wp:effectExtent l="0" t="0" r="0" b="14605"/>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B558F8" w14:textId="77777777" w:rsidR="00E20B2C" w:rsidRDefault="00E20B2C" w:rsidP="00F8132E">
      <w:pPr>
        <w:tabs>
          <w:tab w:val="left" w:pos="1440"/>
          <w:tab w:val="left" w:pos="5760"/>
        </w:tabs>
        <w:ind w:left="540"/>
        <w:contextualSpacing/>
        <w:jc w:val="center"/>
        <w:rPr>
          <w:rFonts w:eastAsiaTheme="minorEastAsia"/>
        </w:rPr>
      </w:pPr>
    </w:p>
    <w:p w14:paraId="1590DF46" w14:textId="190BBB49" w:rsidR="00002757" w:rsidRDefault="005725E5" w:rsidP="00AE53A0">
      <w:pPr>
        <w:tabs>
          <w:tab w:val="left" w:pos="1440"/>
          <w:tab w:val="left" w:pos="5760"/>
        </w:tabs>
        <w:ind w:firstLine="360"/>
        <w:contextualSpacing/>
      </w:pPr>
      <w:r>
        <w:t xml:space="preserve">For the second part of this appendix, we provide additional results for the main setup (i.e., when </w:t>
      </w:r>
      <m:oMath>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i</m:t>
            </m:r>
          </m:sub>
        </m:sSub>
      </m:oMath>
      <w:r>
        <w:rPr>
          <w:rFonts w:eastAsiaTheme="minorEastAsia"/>
        </w:rPr>
        <w:t xml:space="preserve"> for </w:t>
      </w:r>
      <w:r>
        <w:t>truthful students is 0.5) but when the proportion of strategic students</w:t>
      </w:r>
      <w:proofErr w:type="gramStart"/>
      <w:r>
        <w:t xml:space="preserve">, </w:t>
      </w:r>
      <w:proofErr w:type="gramEnd"/>
      <m:oMath>
        <m:r>
          <w:rPr>
            <w:rFonts w:ascii="Cambria Math" w:hAnsi="Cambria Math"/>
          </w:rPr>
          <m:t>P</m:t>
        </m:r>
      </m:oMath>
      <w:r>
        <w:t xml:space="preserve">, varies. </w:t>
      </w:r>
      <w:r w:rsidR="00002757">
        <w:br w:type="page"/>
      </w:r>
    </w:p>
    <w:p w14:paraId="27217C16" w14:textId="5426C670" w:rsidR="006D2D63" w:rsidRDefault="005725E5" w:rsidP="005725E5">
      <w:pPr>
        <w:tabs>
          <w:tab w:val="left" w:pos="1440"/>
          <w:tab w:val="left" w:pos="5760"/>
        </w:tabs>
        <w:ind w:firstLine="360"/>
        <w:contextualSpacing/>
        <w:jc w:val="center"/>
        <w:rPr>
          <w:rFonts w:eastAsiaTheme="minorEastAsia"/>
        </w:rPr>
      </w:pPr>
      <w:r>
        <w:rPr>
          <w:rFonts w:eastAsiaTheme="minorEastAsia"/>
        </w:rPr>
        <w:lastRenderedPageBreak/>
        <w:t xml:space="preserve">Figure </w:t>
      </w:r>
      <w:r w:rsidR="000A4312">
        <w:rPr>
          <w:rFonts w:eastAsiaTheme="minorEastAsia"/>
        </w:rPr>
        <w:t>B.</w:t>
      </w:r>
      <w:r>
        <w:rPr>
          <w:rFonts w:eastAsiaTheme="minorEastAsia"/>
        </w:rPr>
        <w:t>13 – Average changes</w:t>
      </w:r>
      <w:r w:rsidRPr="00DC2205">
        <w:rPr>
          <w:rFonts w:eastAsiaTheme="minorEastAsia"/>
        </w:rPr>
        <w:t xml:space="preserve"> in </w:t>
      </w:r>
      <w:r>
        <w:rPr>
          <w:rFonts w:eastAsiaTheme="minorEastAsia"/>
        </w:rPr>
        <w:t>ordinal utility of strategic and truthful</w:t>
      </w:r>
      <w:r w:rsidRPr="00DC2205">
        <w:rPr>
          <w:rFonts w:eastAsiaTheme="minorEastAsia"/>
        </w:rPr>
        <w:t xml:space="preserve"> students</w:t>
      </w:r>
      <w:r>
        <w:rPr>
          <w:rFonts w:eastAsiaTheme="minorEastAsia"/>
        </w:rPr>
        <w:t xml:space="preserve"> under </w:t>
      </w:r>
      <m:oMath>
        <m:r>
          <w:rPr>
            <w:rFonts w:ascii="Cambria Math" w:eastAsiaTheme="minorEastAsia" w:hAnsi="Cambria Math"/>
          </w:rPr>
          <m:t>P=40%</m:t>
        </m:r>
      </m:oMath>
    </w:p>
    <w:p w14:paraId="6E9793D2" w14:textId="461CA22D" w:rsidR="008564F4" w:rsidRPr="005725E5" w:rsidRDefault="008564F4" w:rsidP="00FA32FD">
      <w:pPr>
        <w:tabs>
          <w:tab w:val="left" w:pos="1440"/>
          <w:tab w:val="left" w:pos="5760"/>
        </w:tabs>
        <w:contextualSpacing/>
        <w:jc w:val="center"/>
      </w:pPr>
      <w:r>
        <w:rPr>
          <w:noProof/>
        </w:rPr>
        <w:drawing>
          <wp:inline distT="0" distB="0" distL="0" distR="0" wp14:anchorId="53868238" wp14:editId="04F74FB2">
            <wp:extent cx="5943600" cy="2976880"/>
            <wp:effectExtent l="19050" t="19050" r="19050" b="139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976880"/>
                    </a:xfrm>
                    <a:prstGeom prst="rect">
                      <a:avLst/>
                    </a:prstGeom>
                    <a:ln w="3175">
                      <a:solidFill>
                        <a:schemeClr val="tx1"/>
                      </a:solidFill>
                    </a:ln>
                  </pic:spPr>
                </pic:pic>
              </a:graphicData>
            </a:graphic>
          </wp:inline>
        </w:drawing>
      </w:r>
    </w:p>
    <w:p w14:paraId="4AA215BC" w14:textId="5FE52C20" w:rsidR="006D2D63" w:rsidRDefault="006D2D63" w:rsidP="006D2D63">
      <w:pPr>
        <w:tabs>
          <w:tab w:val="left" w:pos="1440"/>
          <w:tab w:val="left" w:pos="5760"/>
        </w:tabs>
        <w:ind w:firstLine="360"/>
        <w:contextualSpacing/>
        <w:jc w:val="center"/>
        <w:rPr>
          <w:rFonts w:eastAsiaTheme="minorEastAsia"/>
        </w:rPr>
      </w:pPr>
    </w:p>
    <w:p w14:paraId="3C0C20B9" w14:textId="06D4FFED" w:rsidR="006D2D63" w:rsidRPr="0050153D" w:rsidRDefault="005725E5" w:rsidP="005725E5">
      <w:pPr>
        <w:tabs>
          <w:tab w:val="left" w:pos="1440"/>
          <w:tab w:val="left" w:pos="5760"/>
        </w:tabs>
        <w:ind w:firstLine="360"/>
        <w:contextualSpacing/>
        <w:jc w:val="center"/>
        <w:rPr>
          <w:rFonts w:eastAsiaTheme="minorEastAsia"/>
          <w:noProof/>
        </w:rPr>
      </w:pPr>
      <w:r>
        <w:rPr>
          <w:rFonts w:eastAsiaTheme="minorEastAsia"/>
        </w:rPr>
        <w:t xml:space="preserve">Figure </w:t>
      </w:r>
      <w:r w:rsidR="000A4312">
        <w:rPr>
          <w:rFonts w:eastAsiaTheme="minorEastAsia"/>
        </w:rPr>
        <w:t>B.</w:t>
      </w:r>
      <w:r>
        <w:rPr>
          <w:rFonts w:eastAsiaTheme="minorEastAsia"/>
        </w:rPr>
        <w:t>14</w:t>
      </w:r>
      <w:r w:rsidR="006D2D63">
        <w:rPr>
          <w:rFonts w:eastAsiaTheme="minorEastAsia"/>
        </w:rPr>
        <w:t xml:space="preserve"> – </w:t>
      </w:r>
      <w:r>
        <w:rPr>
          <w:rFonts w:eastAsiaTheme="minorEastAsia"/>
        </w:rPr>
        <w:t>Average changes</w:t>
      </w:r>
      <w:r w:rsidRPr="00DC2205">
        <w:rPr>
          <w:rFonts w:eastAsiaTheme="minorEastAsia"/>
        </w:rPr>
        <w:t xml:space="preserve"> in </w:t>
      </w:r>
      <w:r>
        <w:rPr>
          <w:rFonts w:eastAsiaTheme="minorEastAsia"/>
        </w:rPr>
        <w:t>ordinal utility of strategic and truthful</w:t>
      </w:r>
      <w:r w:rsidRPr="00DC2205">
        <w:rPr>
          <w:rFonts w:eastAsiaTheme="minorEastAsia"/>
        </w:rPr>
        <w:t xml:space="preserve"> students</w:t>
      </w:r>
      <w:r>
        <w:rPr>
          <w:rFonts w:eastAsiaTheme="minorEastAsia"/>
        </w:rPr>
        <w:t xml:space="preserve"> under </w:t>
      </w:r>
      <m:oMath>
        <m:r>
          <w:rPr>
            <w:rFonts w:ascii="Cambria Math" w:eastAsiaTheme="minorEastAsia" w:hAnsi="Cambria Math"/>
          </w:rPr>
          <m:t>P=60%</m:t>
        </m:r>
      </m:oMath>
    </w:p>
    <w:p w14:paraId="5D09ED96" w14:textId="6AA08D41" w:rsidR="0050153D" w:rsidRPr="0050153D" w:rsidRDefault="00385E4E" w:rsidP="00FA32FD">
      <w:pPr>
        <w:tabs>
          <w:tab w:val="left" w:pos="1440"/>
          <w:tab w:val="left" w:pos="5760"/>
        </w:tabs>
        <w:contextualSpacing/>
        <w:jc w:val="center"/>
        <w:rPr>
          <w:rFonts w:eastAsiaTheme="minorEastAsia"/>
          <w:noProof/>
        </w:rPr>
      </w:pPr>
      <w:r>
        <w:rPr>
          <w:noProof/>
        </w:rPr>
        <w:drawing>
          <wp:inline distT="0" distB="0" distL="0" distR="0" wp14:anchorId="2C57E103" wp14:editId="64A869AE">
            <wp:extent cx="5943600" cy="2978785"/>
            <wp:effectExtent l="19050" t="19050" r="19050" b="1206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2978785"/>
                    </a:xfrm>
                    <a:prstGeom prst="rect">
                      <a:avLst/>
                    </a:prstGeom>
                    <a:ln w="3175">
                      <a:solidFill>
                        <a:schemeClr val="tx1"/>
                      </a:solidFill>
                    </a:ln>
                  </pic:spPr>
                </pic:pic>
              </a:graphicData>
            </a:graphic>
          </wp:inline>
        </w:drawing>
      </w:r>
    </w:p>
    <w:p w14:paraId="3850354B" w14:textId="77777777" w:rsidR="006D2D63" w:rsidRDefault="006D2D63" w:rsidP="006D2D63">
      <w:pPr>
        <w:tabs>
          <w:tab w:val="left" w:pos="1440"/>
          <w:tab w:val="left" w:pos="5760"/>
        </w:tabs>
        <w:ind w:firstLine="360"/>
        <w:contextualSpacing/>
        <w:jc w:val="center"/>
      </w:pPr>
    </w:p>
    <w:p w14:paraId="590B0E5A" w14:textId="77777777" w:rsidR="00AA5957" w:rsidRDefault="00AA5957">
      <w:pPr>
        <w:rPr>
          <w:rFonts w:eastAsiaTheme="minorEastAsia"/>
        </w:rPr>
      </w:pPr>
      <w:r>
        <w:rPr>
          <w:rFonts w:eastAsiaTheme="minorEastAsia"/>
        </w:rPr>
        <w:br w:type="page"/>
      </w:r>
    </w:p>
    <w:p w14:paraId="78196126" w14:textId="5877AF22" w:rsidR="006D2D63" w:rsidRDefault="005725E5" w:rsidP="006D2D63">
      <w:pPr>
        <w:tabs>
          <w:tab w:val="left" w:pos="1440"/>
          <w:tab w:val="left" w:pos="5760"/>
        </w:tabs>
        <w:ind w:firstLine="360"/>
        <w:contextualSpacing/>
        <w:jc w:val="center"/>
        <w:rPr>
          <w:rFonts w:eastAsiaTheme="minorEastAsia"/>
          <w:color w:val="4F81BD" w:themeColor="accent1"/>
        </w:rPr>
      </w:pPr>
      <w:r>
        <w:rPr>
          <w:rFonts w:eastAsiaTheme="minorEastAsia"/>
        </w:rPr>
        <w:lastRenderedPageBreak/>
        <w:t xml:space="preserve">Figure </w:t>
      </w:r>
      <w:r w:rsidR="000A4312">
        <w:rPr>
          <w:rFonts w:eastAsiaTheme="minorEastAsia"/>
        </w:rPr>
        <w:t>B.</w:t>
      </w:r>
      <w:r>
        <w:rPr>
          <w:rFonts w:eastAsiaTheme="minorEastAsia"/>
        </w:rPr>
        <w:t>15</w:t>
      </w:r>
      <w:r w:rsidR="006D2D63">
        <w:rPr>
          <w:rFonts w:eastAsiaTheme="minorEastAsia"/>
        </w:rPr>
        <w:t xml:space="preserve"> – </w:t>
      </w:r>
      <w:r>
        <w:rPr>
          <w:rFonts w:eastAsiaTheme="minorEastAsia"/>
        </w:rPr>
        <w:t>Average changes</w:t>
      </w:r>
      <w:r w:rsidRPr="00DC2205">
        <w:rPr>
          <w:rFonts w:eastAsiaTheme="minorEastAsia"/>
        </w:rPr>
        <w:t xml:space="preserve"> in </w:t>
      </w:r>
      <w:r>
        <w:rPr>
          <w:rFonts w:eastAsiaTheme="minorEastAsia"/>
        </w:rPr>
        <w:t>ordinal utility of strategic and truthful</w:t>
      </w:r>
      <w:r w:rsidRPr="00DC2205">
        <w:rPr>
          <w:rFonts w:eastAsiaTheme="minorEastAsia"/>
        </w:rPr>
        <w:t xml:space="preserve"> students</w:t>
      </w:r>
      <w:r>
        <w:rPr>
          <w:rFonts w:eastAsiaTheme="minorEastAsia"/>
        </w:rPr>
        <w:t xml:space="preserve"> under </w:t>
      </w:r>
      <m:oMath>
        <m:r>
          <w:rPr>
            <w:rFonts w:ascii="Cambria Math" w:eastAsiaTheme="minorEastAsia" w:hAnsi="Cambria Math"/>
          </w:rPr>
          <m:t>P=100%</m:t>
        </m:r>
      </m:oMath>
    </w:p>
    <w:p w14:paraId="5BD1D567" w14:textId="64FB6CCC" w:rsidR="006D2D63" w:rsidRDefault="001A077B" w:rsidP="00FA32FD">
      <w:pPr>
        <w:tabs>
          <w:tab w:val="left" w:pos="1440"/>
          <w:tab w:val="left" w:pos="5760"/>
        </w:tabs>
        <w:contextualSpacing/>
        <w:jc w:val="center"/>
        <w:rPr>
          <w:rFonts w:eastAsiaTheme="minorEastAsia"/>
          <w:color w:val="4F81BD" w:themeColor="accent1"/>
        </w:rPr>
      </w:pPr>
      <w:r>
        <w:rPr>
          <w:noProof/>
        </w:rPr>
        <w:drawing>
          <wp:inline distT="0" distB="0" distL="0" distR="0" wp14:anchorId="76829A05" wp14:editId="359BE4B7">
            <wp:extent cx="5943600" cy="2979420"/>
            <wp:effectExtent l="19050" t="19050" r="19050" b="1143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2979420"/>
                    </a:xfrm>
                    <a:prstGeom prst="rect">
                      <a:avLst/>
                    </a:prstGeom>
                    <a:ln w="3175">
                      <a:solidFill>
                        <a:schemeClr val="tx1"/>
                      </a:solidFill>
                    </a:ln>
                  </pic:spPr>
                </pic:pic>
              </a:graphicData>
            </a:graphic>
          </wp:inline>
        </w:drawing>
      </w:r>
    </w:p>
    <w:p w14:paraId="584C02DC" w14:textId="77777777" w:rsidR="0050153D" w:rsidRPr="005725E5" w:rsidRDefault="0050153D" w:rsidP="005725E5">
      <w:pPr>
        <w:tabs>
          <w:tab w:val="left" w:pos="1440"/>
          <w:tab w:val="left" w:pos="5760"/>
        </w:tabs>
        <w:ind w:firstLine="360"/>
        <w:contextualSpacing/>
        <w:jc w:val="center"/>
        <w:rPr>
          <w:rFonts w:eastAsiaTheme="minorEastAsia"/>
          <w:color w:val="4F81BD" w:themeColor="accent1"/>
        </w:rPr>
      </w:pPr>
    </w:p>
    <w:p w14:paraId="1BF4AAAC" w14:textId="66A3E535" w:rsidR="006D2D63" w:rsidRDefault="006D2D63" w:rsidP="006D2D63">
      <w:pPr>
        <w:tabs>
          <w:tab w:val="left" w:pos="1440"/>
          <w:tab w:val="left" w:pos="5760"/>
        </w:tabs>
        <w:contextualSpacing/>
        <w:jc w:val="center"/>
        <w:rPr>
          <w:rFonts w:eastAsiaTheme="minorEastAsia"/>
        </w:rPr>
      </w:pPr>
      <w:r>
        <w:rPr>
          <w:rFonts w:eastAsiaTheme="minorEastAsia"/>
        </w:rPr>
        <w:t xml:space="preserve">Figure </w:t>
      </w:r>
      <w:r w:rsidR="000A4312">
        <w:rPr>
          <w:rFonts w:eastAsiaTheme="minorEastAsia"/>
        </w:rPr>
        <w:t>B.</w:t>
      </w:r>
      <w:r w:rsidR="007968E8">
        <w:rPr>
          <w:rFonts w:eastAsiaTheme="minorEastAsia"/>
        </w:rPr>
        <w:t xml:space="preserve">16 </w:t>
      </w:r>
      <w:r w:rsidR="007968E8">
        <w:rPr>
          <w:rFonts w:eastAsiaTheme="minorEastAsia" w:cstheme="minorHAnsi"/>
        </w:rPr>
        <w:t>–</w:t>
      </w:r>
      <w:r w:rsidR="005A4045">
        <w:rPr>
          <w:rFonts w:eastAsiaTheme="minorEastAsia"/>
        </w:rPr>
        <w:t xml:space="preserve"> Top</w:t>
      </w:r>
      <w:r>
        <w:rPr>
          <w:rFonts w:eastAsiaTheme="minorEastAsia"/>
        </w:rPr>
        <w:t xml:space="preserve"> – Standard deviation of change in ordinal utility of strategic students with different</w:t>
      </w:r>
      <m:oMath>
        <m:r>
          <w:rPr>
            <w:rFonts w:ascii="Cambria Math" w:eastAsiaTheme="minorEastAsia" w:hAnsi="Cambria Math"/>
          </w:rPr>
          <m:t xml:space="preserve"> P</m:t>
        </m:r>
      </m:oMath>
      <w:r w:rsidR="005A4045">
        <w:rPr>
          <w:rFonts w:eastAsiaTheme="minorEastAsia"/>
        </w:rPr>
        <w:t xml:space="preserve">. </w:t>
      </w:r>
      <w:r w:rsidR="005A4045">
        <w:rPr>
          <w:rFonts w:eastAsiaTheme="minorEastAsia"/>
        </w:rPr>
        <w:br/>
        <w:t>Bottom</w:t>
      </w:r>
      <w:r>
        <w:rPr>
          <w:rFonts w:eastAsiaTheme="minorEastAsia"/>
        </w:rPr>
        <w:t xml:space="preserve"> – Standard deviation of change in ordinal utility of truthful students with different</w:t>
      </w:r>
      <m:oMath>
        <m:r>
          <w:rPr>
            <w:rFonts w:ascii="Cambria Math" w:eastAsiaTheme="minorEastAsia" w:hAnsi="Cambria Math"/>
          </w:rPr>
          <m:t xml:space="preserve"> P</m:t>
        </m:r>
      </m:oMath>
      <w:r>
        <w:rPr>
          <w:rFonts w:eastAsiaTheme="minorEastAsia"/>
        </w:rPr>
        <w:t xml:space="preserve">. </w:t>
      </w:r>
    </w:p>
    <w:p w14:paraId="7842433F" w14:textId="53502F5D" w:rsidR="0050153D" w:rsidRDefault="002D1920" w:rsidP="00513FDF">
      <w:pPr>
        <w:tabs>
          <w:tab w:val="left" w:pos="1440"/>
          <w:tab w:val="left" w:pos="5760"/>
        </w:tabs>
        <w:contextualSpacing/>
        <w:jc w:val="center"/>
        <w:rPr>
          <w:rFonts w:eastAsiaTheme="minorEastAsia"/>
        </w:rPr>
      </w:pPr>
      <w:r>
        <w:rPr>
          <w:noProof/>
        </w:rPr>
        <w:drawing>
          <wp:inline distT="0" distB="0" distL="0" distR="0" wp14:anchorId="4635D5A8" wp14:editId="19A39002">
            <wp:extent cx="5943600" cy="2979420"/>
            <wp:effectExtent l="19050" t="19050" r="19050" b="1143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2979420"/>
                    </a:xfrm>
                    <a:prstGeom prst="rect">
                      <a:avLst/>
                    </a:prstGeom>
                    <a:ln w="3175">
                      <a:solidFill>
                        <a:schemeClr val="tx1"/>
                      </a:solidFill>
                    </a:ln>
                  </pic:spPr>
                </pic:pic>
              </a:graphicData>
            </a:graphic>
          </wp:inline>
        </w:drawing>
      </w:r>
    </w:p>
    <w:p w14:paraId="668442A5" w14:textId="20CE524E" w:rsidR="006D2D63" w:rsidRDefault="009A51EE" w:rsidP="009A51EE">
      <w:pPr>
        <w:rPr>
          <w:rFonts w:eastAsiaTheme="minorEastAsia"/>
        </w:rPr>
      </w:pPr>
      <w:r>
        <w:rPr>
          <w:rFonts w:eastAsiaTheme="minorEastAsia"/>
        </w:rPr>
        <w:br w:type="page"/>
      </w:r>
    </w:p>
    <w:p w14:paraId="3B222C88" w14:textId="17F7A838" w:rsidR="00C454BA" w:rsidRDefault="009A51EE" w:rsidP="00C454BA">
      <w:pPr>
        <w:pStyle w:val="Heading2"/>
        <w:tabs>
          <w:tab w:val="left" w:pos="1440"/>
          <w:tab w:val="left" w:pos="5760"/>
        </w:tabs>
        <w:contextualSpacing/>
      </w:pPr>
      <w:r>
        <w:rPr>
          <w:b/>
          <w:bCs/>
          <w:iCs/>
          <w:color w:val="4F81BD" w:themeColor="accent1"/>
          <w:sz w:val="28"/>
          <w:szCs w:val="28"/>
        </w:rPr>
        <w:lastRenderedPageBreak/>
        <w:t xml:space="preserve">Appendix C. </w:t>
      </w:r>
      <w:r w:rsidRPr="009A51EE">
        <w:rPr>
          <w:b/>
          <w:bCs/>
          <w:iCs/>
          <w:color w:val="4F81BD" w:themeColor="accent1"/>
          <w:sz w:val="28"/>
          <w:szCs w:val="28"/>
        </w:rPr>
        <w:t>Compari</w:t>
      </w:r>
      <w:r>
        <w:rPr>
          <w:b/>
          <w:bCs/>
          <w:iCs/>
          <w:color w:val="4F81BD" w:themeColor="accent1"/>
          <w:sz w:val="28"/>
          <w:szCs w:val="28"/>
        </w:rPr>
        <w:t>son</w:t>
      </w:r>
      <w:r w:rsidRPr="009A51EE">
        <w:rPr>
          <w:b/>
          <w:bCs/>
          <w:iCs/>
          <w:color w:val="4F81BD" w:themeColor="accent1"/>
          <w:sz w:val="28"/>
          <w:szCs w:val="28"/>
        </w:rPr>
        <w:t xml:space="preserve"> to the A-CEEI mechanism</w:t>
      </w:r>
      <w:r>
        <w:rPr>
          <w:b/>
          <w:bCs/>
          <w:iCs/>
          <w:color w:val="4F81BD" w:themeColor="accent1"/>
          <w:sz w:val="28"/>
          <w:szCs w:val="28"/>
        </w:rPr>
        <w:t>.</w:t>
      </w:r>
    </w:p>
    <w:p w14:paraId="3A6BA916" w14:textId="486D3796" w:rsidR="001B6326" w:rsidRDefault="00F75BE7" w:rsidP="009A51EE">
      <w:pPr>
        <w:rPr>
          <w:rFonts w:eastAsiaTheme="minorEastAsia"/>
          <w:lang w:bidi="fa-IR"/>
        </w:rPr>
      </w:pPr>
      <w:r>
        <w:t xml:space="preserve">To compare the A-CEEI algorithm with the algorithms described here, we first found that the computational time burden of </w:t>
      </w:r>
      <w:r w:rsidR="00F96F9F">
        <w:t>running that</w:t>
      </w:r>
      <w:r>
        <w:t xml:space="preserve"> algorithm on the same size problems discussed </w:t>
      </w:r>
      <w:r w:rsidR="00243A38">
        <w:t>in this paper was prohibitive.</w:t>
      </w:r>
      <w:r>
        <w:t xml:space="preserve"> So we instead used the smaller setup of Othman </w:t>
      </w:r>
      <w:proofErr w:type="gramStart"/>
      <w:r>
        <w:t>et</w:t>
      </w:r>
      <w:proofErr w:type="gramEnd"/>
      <w:r>
        <w:t xml:space="preserve">. al. (2011), but still, based on computation time </w:t>
      </w:r>
      <w:r w:rsidR="00F96F9F">
        <w:t xml:space="preserve">we </w:t>
      </w:r>
      <w:r w:rsidR="001B6326">
        <w:t>had to limit</w:t>
      </w:r>
      <w:r>
        <w:t xml:space="preserve"> ourselves to just five market instances. Each of these markets includes </w:t>
      </w:r>
      <m:oMath>
        <m:r>
          <w:rPr>
            <w:rFonts w:ascii="Cambria Math" w:hAnsi="Cambria Math"/>
          </w:rPr>
          <m:t xml:space="preserve">n=250 </m:t>
        </m:r>
      </m:oMath>
      <w:r>
        <w:t xml:space="preserve">students and </w:t>
      </w:r>
      <m:oMath>
        <m:r>
          <w:rPr>
            <w:rFonts w:ascii="Cambria Math" w:hAnsi="Cambria Math"/>
          </w:rPr>
          <m:t xml:space="preserve">m=50 </m:t>
        </m:r>
      </m:oMath>
      <w:r>
        <w:t>courses. Each course has only one section and</w:t>
      </w:r>
      <w:r w:rsidR="001B6326">
        <w:t xml:space="preserve"> the possibility of course overlap was not considered</w:t>
      </w:r>
      <w:r>
        <w:t xml:space="preserve">. Also, each course has </w:t>
      </w:r>
      <m:oMath>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 xml:space="preserve">=27 </m:t>
        </m:r>
      </m:oMath>
      <w:r>
        <w:t xml:space="preserve">seats and each student needs </w:t>
      </w:r>
      <m:oMath>
        <m:r>
          <w:rPr>
            <w:rFonts w:ascii="Cambria Math" w:hAnsi="Cambria Math"/>
          </w:rPr>
          <m:t xml:space="preserve">k=5 </m:t>
        </m:r>
      </m:oMath>
      <w:r>
        <w:t xml:space="preserve">courses. In each of these five cases, it was possible to run </w:t>
      </w:r>
      <w:r w:rsidRPr="001B6326">
        <w:rPr>
          <w:i/>
        </w:rPr>
        <w:t>all seven</w:t>
      </w:r>
      <w:r>
        <w:t xml:space="preserve"> algorithms described in the earlier figures of this paper in under 6 seconds, while a </w:t>
      </w:r>
      <w:proofErr w:type="spellStart"/>
      <w:r>
        <w:t>Tabu</w:t>
      </w:r>
      <w:proofErr w:type="spellEnd"/>
      <w:r>
        <w:t xml:space="preserve"> search implementation of A-CEEI consistently reached </w:t>
      </w:r>
      <w:r w:rsidRPr="00BB23A7">
        <w:t xml:space="preserve">our </w:t>
      </w:r>
      <w:r w:rsidR="00C7503B" w:rsidRPr="00BB23A7">
        <w:rPr>
          <w:bCs/>
          <w:iCs/>
        </w:rPr>
        <w:t>2-hour</w:t>
      </w:r>
      <w:r w:rsidRPr="00BB23A7">
        <w:t xml:space="preserve"> time limit without</w:t>
      </w:r>
      <w:r>
        <w:t xml:space="preserve"> converging to </w:t>
      </w:r>
      <w:r w:rsidR="00F96F9F">
        <w:rPr>
          <w:lang w:bidi="fa-IR"/>
        </w:rPr>
        <w:t xml:space="preserve">a </w:t>
      </w:r>
      <w:r>
        <w:rPr>
          <w:lang w:bidi="fa-IR"/>
        </w:rPr>
        <w:t xml:space="preserve">market clearing error below the defined threshold. </w:t>
      </w:r>
      <w:proofErr w:type="spellStart"/>
      <w:r>
        <w:rPr>
          <w:lang w:bidi="fa-IR"/>
        </w:rPr>
        <w:t>Budish</w:t>
      </w:r>
      <w:proofErr w:type="spellEnd"/>
      <w:r>
        <w:rPr>
          <w:lang w:bidi="fa-IR"/>
        </w:rPr>
        <w:t xml:space="preserve"> (2011) proved that the market clearing error threshold for each market is </w:t>
      </w:r>
      <m:oMath>
        <m:rad>
          <m:radPr>
            <m:ctrlPr>
              <w:rPr>
                <w:rFonts w:ascii="Cambria Math" w:hAnsi="Cambria Math"/>
                <w:i/>
                <w:lang w:bidi="fa-IR"/>
              </w:rPr>
            </m:ctrlPr>
          </m:radPr>
          <m:deg/>
          <m:e>
            <m:r>
              <w:rPr>
                <w:rFonts w:ascii="Cambria Math" w:hAnsi="Cambria Math"/>
                <w:lang w:bidi="fa-IR"/>
              </w:rPr>
              <m:t>(k×M)/2</m:t>
            </m:r>
          </m:e>
        </m:rad>
      </m:oMath>
      <w:r>
        <w:rPr>
          <w:lang w:bidi="fa-IR"/>
        </w:rPr>
        <w:t xml:space="preserve"> which is equal to 15 in our experiments</w:t>
      </w:r>
      <w:r w:rsidR="007A55C5">
        <w:rPr>
          <w:lang w:bidi="fa-IR"/>
        </w:rPr>
        <w:t xml:space="preserve">, though we could not achieve </w:t>
      </w:r>
      <w:r w:rsidR="00F96F9F">
        <w:rPr>
          <w:lang w:bidi="fa-IR"/>
        </w:rPr>
        <w:t>values lower than about 49.5 on average</w:t>
      </w:r>
      <w:r>
        <w:rPr>
          <w:rFonts w:eastAsiaTheme="minorEastAsia"/>
          <w:lang w:bidi="fa-IR"/>
        </w:rPr>
        <w:t xml:space="preserve">. </w:t>
      </w:r>
      <w:r w:rsidR="00F96F9F">
        <w:rPr>
          <w:rFonts w:eastAsiaTheme="minorEastAsia"/>
          <w:lang w:bidi="fa-IR"/>
        </w:rPr>
        <w:t>This metric of infeasibility tr</w:t>
      </w:r>
      <w:r w:rsidR="001B6326">
        <w:rPr>
          <w:rFonts w:eastAsiaTheme="minorEastAsia"/>
          <w:lang w:bidi="fa-IR"/>
        </w:rPr>
        <w:t>anslated to an average of 119</w:t>
      </w:r>
      <w:r w:rsidR="007A55C5">
        <w:rPr>
          <w:rFonts w:eastAsiaTheme="minorEastAsia"/>
          <w:lang w:bidi="fa-IR"/>
        </w:rPr>
        <w:t>.4</w:t>
      </w:r>
      <w:r w:rsidR="001B6326">
        <w:rPr>
          <w:rFonts w:eastAsiaTheme="minorEastAsia"/>
          <w:lang w:bidi="fa-IR"/>
        </w:rPr>
        <w:t xml:space="preserve"> seats assigned beyond the capacity (in total over </w:t>
      </w:r>
      <w:r w:rsidR="00904A08">
        <w:rPr>
          <w:rFonts w:eastAsiaTheme="minorEastAsia"/>
          <w:lang w:bidi="fa-IR"/>
        </w:rPr>
        <w:t>several highly</w:t>
      </w:r>
      <w:r w:rsidR="001B6326">
        <w:rPr>
          <w:rFonts w:eastAsiaTheme="minorEastAsia"/>
          <w:lang w:bidi="fa-IR"/>
        </w:rPr>
        <w:t xml:space="preserve"> demand</w:t>
      </w:r>
      <w:r w:rsidR="00904A08">
        <w:rPr>
          <w:rFonts w:eastAsiaTheme="minorEastAsia"/>
          <w:lang w:bidi="fa-IR"/>
        </w:rPr>
        <w:t>ed</w:t>
      </w:r>
      <w:r w:rsidR="001B6326">
        <w:rPr>
          <w:rFonts w:eastAsiaTheme="minorEastAsia"/>
          <w:lang w:bidi="fa-IR"/>
        </w:rPr>
        <w:t xml:space="preserve"> courses) while simultaneously resulting in several courses with em</w:t>
      </w:r>
      <w:r w:rsidR="007A55C5">
        <w:rPr>
          <w:rFonts w:eastAsiaTheme="minorEastAsia"/>
          <w:lang w:bidi="fa-IR"/>
        </w:rPr>
        <w:t>pty seats, total</w:t>
      </w:r>
      <w:r w:rsidR="00002757">
        <w:rPr>
          <w:rFonts w:eastAsiaTheme="minorEastAsia"/>
          <w:lang w:bidi="fa-IR"/>
        </w:rPr>
        <w:t>ing</w:t>
      </w:r>
      <w:r w:rsidR="007A55C5">
        <w:rPr>
          <w:rFonts w:eastAsiaTheme="minorEastAsia"/>
          <w:lang w:bidi="fa-IR"/>
        </w:rPr>
        <w:t xml:space="preserve"> 131.2 unused seats on average</w:t>
      </w:r>
      <w:r w:rsidR="00904A08">
        <w:rPr>
          <w:rFonts w:eastAsiaTheme="minorEastAsia"/>
          <w:lang w:bidi="fa-IR"/>
        </w:rPr>
        <w:t xml:space="preserve"> (because their price was set too high</w:t>
      </w:r>
      <w:r w:rsidR="001B6326">
        <w:rPr>
          <w:rFonts w:eastAsiaTheme="minorEastAsia"/>
          <w:lang w:bidi="fa-IR"/>
        </w:rPr>
        <w:t>.</w:t>
      </w:r>
      <w:r w:rsidR="00904A08">
        <w:rPr>
          <w:rFonts w:eastAsiaTheme="minorEastAsia"/>
          <w:lang w:bidi="fa-IR"/>
        </w:rPr>
        <w:t>)</w:t>
      </w:r>
    </w:p>
    <w:p w14:paraId="513A6188" w14:textId="12BBF943" w:rsidR="00F75BE7" w:rsidRDefault="00F96F9F" w:rsidP="00F75BE7">
      <w:pPr>
        <w:rPr>
          <w:lang w:bidi="fa-IR"/>
        </w:rPr>
      </w:pPr>
      <w:r>
        <w:rPr>
          <w:rFonts w:eastAsiaTheme="minorEastAsia"/>
          <w:lang w:bidi="fa-IR"/>
        </w:rPr>
        <w:t>In short, we find quite poor performance for the A-CEEI method compared to the others discussed here. A</w:t>
      </w:r>
      <w:r w:rsidR="00F75BE7">
        <w:rPr>
          <w:rFonts w:eastAsiaTheme="minorEastAsia"/>
          <w:lang w:bidi="fa-IR"/>
        </w:rPr>
        <w:t xml:space="preserve">ll algorithms assigned the max possible number of seats (50*5=1250 seats) to students except A-CEEI which assigned on average 12 seats fewer than other algorithms. Also, in all random trials, all algorithms except A-CEEI assigned exactly 5 courses to each student while in A-CEEI on average </w:t>
      </w:r>
      <w:r w:rsidR="00F75BE7">
        <w:t xml:space="preserve">the worst student gets 2.2 courses. Accordingly, the average range of binary utility for all algorithms is zero while it is 2.8 for A-CEEI algorithm. </w:t>
      </w:r>
      <w:r w:rsidR="00F75BE7">
        <w:rPr>
          <w:lang w:bidi="fa-IR"/>
        </w:rPr>
        <w:t>Similarly, the average standard deviation of binary utility for all algorithms is zer</w:t>
      </w:r>
      <w:r w:rsidR="00904A08">
        <w:rPr>
          <w:lang w:bidi="fa-IR"/>
        </w:rPr>
        <w:t>o while for A-CEEI it is 0.315.</w:t>
      </w:r>
    </w:p>
    <w:p w14:paraId="28B8A215" w14:textId="3EF54810" w:rsidR="00F75BE7" w:rsidRPr="00904A08" w:rsidRDefault="00904A08" w:rsidP="00904A08">
      <w:pPr>
        <w:rPr>
          <w:rFonts w:eastAsiaTheme="minorEastAsia"/>
          <w:lang w:bidi="fa-IR"/>
        </w:rPr>
      </w:pPr>
      <w:r>
        <w:rPr>
          <w:lang w:bidi="fa-IR"/>
        </w:rPr>
        <w:t>Further results are provided as follows in Figures C.1 through C.6</w:t>
      </w:r>
      <w:r>
        <w:rPr>
          <w:rFonts w:eastAsiaTheme="minorEastAsia"/>
          <w:lang w:bidi="fa-IR"/>
        </w:rPr>
        <w:t>:</w:t>
      </w:r>
    </w:p>
    <w:p w14:paraId="4E2ED45F" w14:textId="445DF818" w:rsidR="00F75BE7" w:rsidRDefault="00F75BE7" w:rsidP="00F75BE7">
      <w:pPr>
        <w:tabs>
          <w:tab w:val="left" w:pos="1440"/>
          <w:tab w:val="left" w:pos="5760"/>
        </w:tabs>
        <w:ind w:firstLine="360"/>
        <w:contextualSpacing/>
        <w:jc w:val="center"/>
      </w:pPr>
      <w:r>
        <w:t xml:space="preserve">Figure </w:t>
      </w:r>
      <w:r w:rsidR="00904A08">
        <w:t>C.</w:t>
      </w:r>
      <w:r>
        <w:t xml:space="preserve">1 - </w:t>
      </w:r>
      <w:r w:rsidRPr="00784F18">
        <w:t xml:space="preserve">The average </w:t>
      </w:r>
      <w:r>
        <w:t>ordinal utility per student per algorithm, showing amounts above A-CEEI benchmark with average ordinal utility of 432.34 per student.</w:t>
      </w:r>
    </w:p>
    <w:p w14:paraId="75962B0F" w14:textId="77777777" w:rsidR="00F75BE7" w:rsidRDefault="00F75BE7" w:rsidP="00F75BE7">
      <w:pPr>
        <w:tabs>
          <w:tab w:val="left" w:pos="1440"/>
          <w:tab w:val="left" w:pos="5760"/>
        </w:tabs>
        <w:ind w:firstLine="360"/>
        <w:contextualSpacing/>
        <w:jc w:val="center"/>
      </w:pPr>
      <w:r>
        <w:rPr>
          <w:noProof/>
        </w:rPr>
        <w:drawing>
          <wp:inline distT="0" distB="0" distL="0" distR="0" wp14:anchorId="7D13FC80" wp14:editId="02CAC78E">
            <wp:extent cx="3784821" cy="1979874"/>
            <wp:effectExtent l="0" t="0" r="6350" b="190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CFEC388" w14:textId="77777777" w:rsidR="00F75BE7" w:rsidRDefault="00F75BE7" w:rsidP="00F75BE7">
      <w:pPr>
        <w:rPr>
          <w:lang w:bidi="fa-IR"/>
        </w:rPr>
      </w:pPr>
    </w:p>
    <w:p w14:paraId="4963D97F" w14:textId="7318B0CC" w:rsidR="00002757" w:rsidRDefault="00904A08" w:rsidP="002D1920">
      <w:pPr>
        <w:rPr>
          <w:rFonts w:eastAsiaTheme="minorEastAsia"/>
          <w:lang w:bidi="fa-IR"/>
        </w:rPr>
      </w:pPr>
      <w:r>
        <w:rPr>
          <w:rFonts w:eastAsiaTheme="minorEastAsia"/>
          <w:lang w:bidi="fa-IR"/>
        </w:rPr>
        <w:lastRenderedPageBreak/>
        <w:t xml:space="preserve">Because the Othman et al. (2011) setup is more </w:t>
      </w:r>
      <w:r w:rsidR="00D83881">
        <w:rPr>
          <w:rFonts w:eastAsiaTheme="minorEastAsia"/>
          <w:lang w:bidi="fa-IR"/>
        </w:rPr>
        <w:t>competitive market, with t</w:t>
      </w:r>
      <w:r w:rsidR="00F75BE7">
        <w:rPr>
          <w:rFonts w:eastAsiaTheme="minorEastAsia"/>
          <w:lang w:bidi="fa-IR"/>
        </w:rPr>
        <w:t xml:space="preserve">otal supply (50 * 27 = 1350 seats) </w:t>
      </w:r>
      <w:r w:rsidR="00D83881">
        <w:rPr>
          <w:rFonts w:eastAsiaTheme="minorEastAsia"/>
          <w:lang w:bidi="fa-IR"/>
        </w:rPr>
        <w:t xml:space="preserve">not much more than </w:t>
      </w:r>
      <w:r w:rsidR="00F75BE7">
        <w:rPr>
          <w:rFonts w:eastAsiaTheme="minorEastAsia"/>
          <w:lang w:bidi="fa-IR"/>
        </w:rPr>
        <w:t>total demand (250 * 5 = 1250), in most algorithm</w:t>
      </w:r>
      <w:r w:rsidR="00D83881">
        <w:rPr>
          <w:rFonts w:eastAsiaTheme="minorEastAsia"/>
          <w:lang w:bidi="fa-IR"/>
        </w:rPr>
        <w:t xml:space="preserve"> run</w:t>
      </w:r>
      <w:r w:rsidR="00F75BE7">
        <w:rPr>
          <w:rFonts w:eastAsiaTheme="minorEastAsia"/>
          <w:lang w:bidi="fa-IR"/>
        </w:rPr>
        <w:t xml:space="preserve">s no student </w:t>
      </w:r>
      <w:r w:rsidR="00D83881">
        <w:rPr>
          <w:rFonts w:eastAsiaTheme="minorEastAsia"/>
          <w:lang w:bidi="fa-IR"/>
        </w:rPr>
        <w:t xml:space="preserve">is awarded </w:t>
      </w:r>
      <w:r w:rsidR="00F75BE7">
        <w:rPr>
          <w:rFonts w:eastAsiaTheme="minorEastAsia"/>
          <w:lang w:bidi="fa-IR"/>
        </w:rPr>
        <w:t xml:space="preserve">her best bundle. Here, </w:t>
      </w:r>
      <w:r w:rsidR="00D83881">
        <w:rPr>
          <w:rFonts w:eastAsiaTheme="minorEastAsia"/>
          <w:lang w:bidi="fa-IR"/>
        </w:rPr>
        <w:t xml:space="preserve">the ordinal value </w:t>
      </w:r>
      <w:r w:rsidR="00F75BE7">
        <w:rPr>
          <w:rFonts w:eastAsiaTheme="minorEastAsia"/>
          <w:lang w:bidi="fa-IR"/>
        </w:rPr>
        <w:t xml:space="preserve">of the </w:t>
      </w:r>
      <w:r w:rsidR="00D83881">
        <w:rPr>
          <w:rFonts w:eastAsiaTheme="minorEastAsia"/>
          <w:lang w:bidi="fa-IR"/>
        </w:rPr>
        <w:t>best bundle is</w:t>
      </w:r>
      <w:r w:rsidR="00F75BE7">
        <w:rPr>
          <w:rFonts w:eastAsiaTheme="minorEastAsia"/>
          <w:lang w:bidi="fa-IR"/>
        </w:rPr>
        <w:t xml:space="preserve"> 490 point</w:t>
      </w:r>
      <w:r w:rsidR="00D83881">
        <w:rPr>
          <w:rFonts w:eastAsiaTheme="minorEastAsia"/>
          <w:lang w:bidi="fa-IR"/>
        </w:rPr>
        <w:t>s</w:t>
      </w:r>
      <w:r w:rsidR="00F75BE7">
        <w:rPr>
          <w:rFonts w:eastAsiaTheme="minorEastAsia"/>
          <w:lang w:bidi="fa-IR"/>
        </w:rPr>
        <w:t xml:space="preserve"> (</w:t>
      </w:r>
      <m:oMath>
        <m:r>
          <w:rPr>
            <w:rFonts w:ascii="Cambria Math" w:eastAsiaTheme="minorEastAsia" w:hAnsi="Cambria Math"/>
            <w:lang w:bidi="fa-IR"/>
          </w:rPr>
          <m:t>=100+99+98+97+96</m:t>
        </m:r>
      </m:oMath>
      <w:r w:rsidR="00002757">
        <w:rPr>
          <w:rFonts w:eastAsiaTheme="minorEastAsia"/>
          <w:lang w:bidi="fa-IR"/>
        </w:rPr>
        <w:t>).</w:t>
      </w:r>
    </w:p>
    <w:p w14:paraId="4BBEF5EB" w14:textId="3FFED9E7" w:rsidR="00F75BE7" w:rsidRDefault="00F75BE7" w:rsidP="00F75BE7">
      <w:pPr>
        <w:tabs>
          <w:tab w:val="left" w:pos="1440"/>
          <w:tab w:val="left" w:pos="5760"/>
        </w:tabs>
        <w:ind w:firstLine="360"/>
        <w:contextualSpacing/>
        <w:jc w:val="center"/>
        <w:rPr>
          <w:lang w:bidi="fa-IR"/>
        </w:rPr>
      </w:pPr>
      <w:r>
        <w:rPr>
          <w:rFonts w:eastAsiaTheme="minorEastAsia" w:cstheme="minorHAnsi"/>
        </w:rPr>
        <w:t xml:space="preserve">Figure </w:t>
      </w:r>
      <w:r w:rsidR="00D83881">
        <w:rPr>
          <w:rFonts w:eastAsiaTheme="minorEastAsia" w:cstheme="minorHAnsi"/>
        </w:rPr>
        <w:t>C.2</w:t>
      </w:r>
      <w:r>
        <w:rPr>
          <w:rFonts w:eastAsiaTheme="minorEastAsia" w:cstheme="minorHAnsi"/>
        </w:rPr>
        <w:t xml:space="preserve"> </w:t>
      </w:r>
      <w:r w:rsidRPr="00EF6E89">
        <w:rPr>
          <w:rFonts w:eastAsiaTheme="minorEastAsia" w:cstheme="minorHAnsi"/>
        </w:rPr>
        <w:t xml:space="preserve">- The </w:t>
      </w:r>
      <w:r>
        <w:rPr>
          <w:rFonts w:eastAsiaTheme="minorEastAsia" w:cstheme="minorHAnsi"/>
        </w:rPr>
        <w:t>average range</w:t>
      </w:r>
      <w:r w:rsidRPr="00EF6E89">
        <w:rPr>
          <w:rFonts w:eastAsiaTheme="minorEastAsia" w:cstheme="minorHAnsi"/>
        </w:rPr>
        <w:t xml:space="preserve"> </w:t>
      </w:r>
      <w:r>
        <w:rPr>
          <w:rFonts w:eastAsiaTheme="minorEastAsia" w:cstheme="minorHAnsi"/>
        </w:rPr>
        <w:t>of ordinal utility per student per algorithm</w:t>
      </w:r>
    </w:p>
    <w:p w14:paraId="77ED1295" w14:textId="77777777" w:rsidR="00F75BE7" w:rsidRDefault="00F75BE7" w:rsidP="00F75BE7">
      <w:pPr>
        <w:jc w:val="center"/>
        <w:rPr>
          <w:lang w:bidi="fa-IR"/>
        </w:rPr>
      </w:pPr>
      <w:r>
        <w:rPr>
          <w:noProof/>
        </w:rPr>
        <w:drawing>
          <wp:inline distT="0" distB="0" distL="0" distR="0" wp14:anchorId="06AD8B69" wp14:editId="4AC9E195">
            <wp:extent cx="4484536" cy="1876508"/>
            <wp:effectExtent l="0" t="0" r="1143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CEED2A4" w14:textId="1AA12BC4" w:rsidR="00F75BE7" w:rsidRDefault="00D83881" w:rsidP="00F75BE7">
      <w:pPr>
        <w:tabs>
          <w:tab w:val="left" w:pos="1440"/>
          <w:tab w:val="left" w:pos="5760"/>
        </w:tabs>
        <w:ind w:firstLine="360"/>
        <w:contextualSpacing/>
        <w:jc w:val="center"/>
        <w:rPr>
          <w:rFonts w:eastAsiaTheme="minorEastAsia" w:cstheme="minorHAnsi"/>
        </w:rPr>
      </w:pPr>
      <w:r>
        <w:rPr>
          <w:rFonts w:eastAsiaTheme="minorEastAsia" w:cstheme="minorHAnsi"/>
        </w:rPr>
        <w:t>Figure C.3</w:t>
      </w:r>
      <w:r w:rsidR="00F75BE7" w:rsidRPr="004656DB">
        <w:rPr>
          <w:rFonts w:eastAsiaTheme="minorEastAsia" w:cstheme="minorHAnsi"/>
        </w:rPr>
        <w:t xml:space="preserve"> </w:t>
      </w:r>
      <w:r w:rsidR="00F75BE7">
        <w:rPr>
          <w:rFonts w:eastAsiaTheme="minorEastAsia" w:cstheme="minorHAnsi"/>
        </w:rPr>
        <w:t>–</w:t>
      </w:r>
      <w:r w:rsidR="00F75BE7" w:rsidRPr="004656DB">
        <w:rPr>
          <w:rFonts w:eastAsiaTheme="minorEastAsia" w:cstheme="minorHAnsi"/>
        </w:rPr>
        <w:t xml:space="preserve"> </w:t>
      </w:r>
      <w:r w:rsidR="00F75BE7">
        <w:rPr>
          <w:rFonts w:eastAsiaTheme="minorEastAsia" w:cstheme="minorHAnsi"/>
        </w:rPr>
        <w:t>Average s</w:t>
      </w:r>
      <w:r w:rsidR="00F75BE7" w:rsidRPr="004656DB">
        <w:rPr>
          <w:rFonts w:eastAsiaTheme="minorEastAsia" w:cstheme="minorHAnsi"/>
        </w:rPr>
        <w:t xml:space="preserve">tandard deviation of </w:t>
      </w:r>
      <w:r w:rsidR="00F75BE7">
        <w:rPr>
          <w:rFonts w:eastAsiaTheme="minorEastAsia" w:cstheme="minorHAnsi"/>
        </w:rPr>
        <w:t xml:space="preserve">ordinal utility per student per algorithm </w:t>
      </w:r>
    </w:p>
    <w:p w14:paraId="5113C8CD" w14:textId="77777777" w:rsidR="00F75BE7" w:rsidRDefault="00F75BE7" w:rsidP="00F75BE7">
      <w:pPr>
        <w:jc w:val="center"/>
        <w:rPr>
          <w:lang w:bidi="fa-IR"/>
        </w:rPr>
      </w:pPr>
      <w:r>
        <w:rPr>
          <w:noProof/>
        </w:rPr>
        <w:drawing>
          <wp:inline distT="0" distB="0" distL="0" distR="0" wp14:anchorId="3DDFF1F0" wp14:editId="535151BD">
            <wp:extent cx="4047214" cy="1796995"/>
            <wp:effectExtent l="0" t="0" r="10795" b="1333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C5E8584" w14:textId="1CD10CC9" w:rsidR="00F75BE7" w:rsidRDefault="00D83881" w:rsidP="00F75BE7">
      <w:pPr>
        <w:tabs>
          <w:tab w:val="left" w:pos="1440"/>
          <w:tab w:val="left" w:pos="5760"/>
        </w:tabs>
        <w:ind w:firstLine="360"/>
        <w:contextualSpacing/>
        <w:jc w:val="center"/>
      </w:pPr>
      <w:r>
        <w:t>Figure C.4</w:t>
      </w:r>
      <w:r w:rsidR="00F75BE7">
        <w:t xml:space="preserve"> </w:t>
      </w:r>
      <w:r w:rsidR="00F75BE7">
        <w:rPr>
          <w:rFonts w:eastAsiaTheme="minorEastAsia" w:cstheme="minorHAnsi"/>
        </w:rPr>
        <w:t>–</w:t>
      </w:r>
      <w:r w:rsidR="00F75BE7">
        <w:t xml:space="preserve"> </w:t>
      </w:r>
      <w:r w:rsidR="00F75BE7" w:rsidRPr="00784F18">
        <w:t xml:space="preserve">The average </w:t>
      </w:r>
      <w:r w:rsidR="00F75BE7">
        <w:t>cardinal utility per algorithm, amounts above A-CEEI benchmark with average cardinal utility 156.73</w:t>
      </w:r>
    </w:p>
    <w:p w14:paraId="5100F528" w14:textId="5061E36E" w:rsidR="00002757" w:rsidRDefault="00F75BE7" w:rsidP="00002757">
      <w:pPr>
        <w:jc w:val="center"/>
        <w:rPr>
          <w:rFonts w:eastAsiaTheme="minorEastAsia"/>
          <w:lang w:bidi="fa-IR"/>
        </w:rPr>
      </w:pPr>
      <w:r>
        <w:rPr>
          <w:noProof/>
        </w:rPr>
        <w:drawing>
          <wp:inline distT="0" distB="0" distL="0" distR="0" wp14:anchorId="71B9996C" wp14:editId="783FB54C">
            <wp:extent cx="3816626" cy="1963972"/>
            <wp:effectExtent l="0" t="0" r="12700" b="1778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3369794" w14:textId="1C36513E" w:rsidR="00002757" w:rsidRPr="00002757" w:rsidRDefault="00002757" w:rsidP="00002757">
      <w:pPr>
        <w:rPr>
          <w:rFonts w:eastAsiaTheme="minorEastAsia"/>
          <w:lang w:bidi="fa-IR"/>
        </w:rPr>
      </w:pPr>
      <w:r>
        <w:rPr>
          <w:rFonts w:eastAsiaTheme="minorEastAsia"/>
          <w:lang w:bidi="fa-IR"/>
        </w:rPr>
        <w:br w:type="page"/>
      </w:r>
    </w:p>
    <w:p w14:paraId="47FF431F" w14:textId="3137C6A4" w:rsidR="00F75BE7" w:rsidRDefault="00002757" w:rsidP="00F75BE7">
      <w:pPr>
        <w:jc w:val="center"/>
        <w:rPr>
          <w:rFonts w:eastAsiaTheme="minorEastAsia"/>
          <w:lang w:bidi="fa-IR"/>
        </w:rPr>
      </w:pPr>
      <w:r>
        <w:rPr>
          <w:rFonts w:eastAsiaTheme="minorEastAsia" w:cstheme="minorHAnsi"/>
        </w:rPr>
        <w:lastRenderedPageBreak/>
        <w:t>Figure C.5</w:t>
      </w:r>
      <w:r w:rsidR="00F75BE7">
        <w:rPr>
          <w:rFonts w:eastAsiaTheme="minorEastAsia" w:cstheme="minorHAnsi"/>
        </w:rPr>
        <w:t xml:space="preserve"> –</w:t>
      </w:r>
      <w:r w:rsidR="00F75BE7" w:rsidRPr="00EF6E89">
        <w:rPr>
          <w:rFonts w:eastAsiaTheme="minorEastAsia" w:cstheme="minorHAnsi"/>
        </w:rPr>
        <w:t xml:space="preserve"> The </w:t>
      </w:r>
      <w:r w:rsidR="00F75BE7">
        <w:rPr>
          <w:rFonts w:eastAsiaTheme="minorEastAsia" w:cstheme="minorHAnsi"/>
        </w:rPr>
        <w:t>average range</w:t>
      </w:r>
      <w:r w:rsidR="00F75BE7" w:rsidRPr="00EF6E89">
        <w:rPr>
          <w:rFonts w:eastAsiaTheme="minorEastAsia" w:cstheme="minorHAnsi"/>
        </w:rPr>
        <w:t xml:space="preserve"> </w:t>
      </w:r>
      <w:r w:rsidR="00F75BE7">
        <w:rPr>
          <w:rFonts w:eastAsiaTheme="minorEastAsia" w:cstheme="minorHAnsi"/>
        </w:rPr>
        <w:t>of cardinal utility per algorithm</w:t>
      </w:r>
    </w:p>
    <w:p w14:paraId="26BECB2A" w14:textId="77777777" w:rsidR="00F75BE7" w:rsidRDefault="00F75BE7" w:rsidP="00F75BE7">
      <w:pPr>
        <w:jc w:val="center"/>
        <w:rPr>
          <w:rFonts w:eastAsiaTheme="minorEastAsia"/>
          <w:lang w:bidi="fa-IR"/>
        </w:rPr>
      </w:pPr>
      <w:r>
        <w:rPr>
          <w:noProof/>
        </w:rPr>
        <w:drawing>
          <wp:inline distT="0" distB="0" distL="0" distR="0" wp14:anchorId="3F1B288F" wp14:editId="0FEFCAD9">
            <wp:extent cx="3880237" cy="2083242"/>
            <wp:effectExtent l="0" t="0" r="6350" b="127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084C801" w14:textId="68CCBCA5" w:rsidR="00F75BE7" w:rsidRDefault="00002757" w:rsidP="00F75BE7">
      <w:pPr>
        <w:jc w:val="center"/>
        <w:rPr>
          <w:rFonts w:eastAsiaTheme="minorEastAsia" w:cstheme="minorHAnsi"/>
        </w:rPr>
      </w:pPr>
      <w:r>
        <w:t>Figure C.6</w:t>
      </w:r>
      <w:r w:rsidR="00F75BE7">
        <w:t xml:space="preserve"> </w:t>
      </w:r>
      <w:r w:rsidR="00F75BE7">
        <w:rPr>
          <w:rFonts w:eastAsiaTheme="minorEastAsia" w:cstheme="minorHAnsi"/>
        </w:rPr>
        <w:t>–</w:t>
      </w:r>
      <w:r w:rsidR="00F75BE7" w:rsidRPr="00C45ED0">
        <w:rPr>
          <w:rFonts w:eastAsiaTheme="minorEastAsia" w:cstheme="minorHAnsi"/>
        </w:rPr>
        <w:t xml:space="preserve"> </w:t>
      </w:r>
      <w:r w:rsidR="00F75BE7">
        <w:rPr>
          <w:rFonts w:eastAsiaTheme="minorEastAsia" w:cstheme="minorHAnsi"/>
        </w:rPr>
        <w:t>Average s</w:t>
      </w:r>
      <w:r w:rsidR="00F75BE7" w:rsidRPr="004656DB">
        <w:rPr>
          <w:rFonts w:eastAsiaTheme="minorEastAsia" w:cstheme="minorHAnsi"/>
        </w:rPr>
        <w:t xml:space="preserve">tandard deviation of </w:t>
      </w:r>
      <w:r w:rsidR="00F75BE7">
        <w:rPr>
          <w:rFonts w:eastAsiaTheme="minorEastAsia" w:cstheme="minorHAnsi"/>
        </w:rPr>
        <w:t xml:space="preserve">cardinal utility per </w:t>
      </w:r>
      <w:r w:rsidR="00F75BE7" w:rsidRPr="00EF6E89">
        <w:rPr>
          <w:rFonts w:eastAsiaTheme="minorEastAsia" w:cstheme="minorHAnsi"/>
        </w:rPr>
        <w:t>algorithm</w:t>
      </w:r>
      <w:r w:rsidR="00F75BE7">
        <w:rPr>
          <w:noProof/>
        </w:rPr>
        <w:drawing>
          <wp:inline distT="0" distB="0" distL="0" distR="0" wp14:anchorId="7D459296" wp14:editId="711587B0">
            <wp:extent cx="4540195" cy="1932167"/>
            <wp:effectExtent l="0" t="0" r="13335" b="1143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139F120" w14:textId="77777777" w:rsidR="009A51EE" w:rsidRDefault="009A51EE" w:rsidP="00F75BE7">
      <w:pPr>
        <w:jc w:val="center"/>
        <w:rPr>
          <w:rFonts w:eastAsiaTheme="minorEastAsia" w:cstheme="minorHAnsi"/>
        </w:rPr>
      </w:pPr>
    </w:p>
    <w:p w14:paraId="0B82D632" w14:textId="48502396" w:rsidR="000426FB" w:rsidRDefault="000426FB" w:rsidP="000426FB">
      <w:pPr>
        <w:pStyle w:val="Heading2"/>
        <w:tabs>
          <w:tab w:val="left" w:pos="1440"/>
          <w:tab w:val="left" w:pos="5760"/>
        </w:tabs>
        <w:contextualSpacing/>
      </w:pPr>
      <w:r>
        <w:rPr>
          <w:b/>
          <w:bCs/>
          <w:iCs/>
          <w:color w:val="4F81BD" w:themeColor="accent1"/>
          <w:sz w:val="28"/>
          <w:szCs w:val="28"/>
        </w:rPr>
        <w:t>Appendix D. Comparisons on Random Instances, Varying the Common-Value Weighting for True Values.</w:t>
      </w:r>
    </w:p>
    <w:p w14:paraId="0D86BC5D" w14:textId="4EFA0D77" w:rsidR="009A51EE" w:rsidRPr="00BB23A7" w:rsidRDefault="009A51EE" w:rsidP="009A51EE">
      <w:pPr>
        <w:ind w:firstLine="360"/>
      </w:pPr>
      <w:r w:rsidRPr="00BB23A7">
        <w:t xml:space="preserve">In a final set of experiments, we </w:t>
      </w:r>
      <w:r w:rsidR="000426FB" w:rsidRPr="00BB23A7">
        <w:t>followed the</w:t>
      </w:r>
      <w:r w:rsidRPr="00BB23A7">
        <w:t xml:space="preserve"> simpler simulation structure </w:t>
      </w:r>
      <w:r w:rsidR="000426FB" w:rsidRPr="00BB23A7">
        <w:t>of</w:t>
      </w:r>
      <w:r w:rsidRPr="00BB23A7">
        <w:t xml:space="preserve"> Kominers </w:t>
      </w:r>
      <w:proofErr w:type="gramStart"/>
      <w:r w:rsidRPr="00BB23A7">
        <w:t>et</w:t>
      </w:r>
      <w:proofErr w:type="gramEnd"/>
      <w:r w:rsidRPr="00BB23A7">
        <w:t>. al. (2010)</w:t>
      </w:r>
      <w:r w:rsidR="000426FB" w:rsidRPr="00BB23A7">
        <w:t xml:space="preserve"> to test the performance of the investigated algorithms in extreme cases</w:t>
      </w:r>
      <w:r w:rsidRPr="00BB23A7">
        <w:t xml:space="preserve">. </w:t>
      </w:r>
      <w:r w:rsidR="000426FB" w:rsidRPr="00BB23A7">
        <w:t>S</w:t>
      </w:r>
      <w:r w:rsidRPr="00BB23A7">
        <w:t xml:space="preserve">imilar to </w:t>
      </w:r>
      <w:r w:rsidR="000426FB" w:rsidRPr="00BB23A7">
        <w:t>their</w:t>
      </w:r>
      <w:r w:rsidRPr="00BB23A7">
        <w:t xml:space="preserve"> model</w:t>
      </w:r>
      <w:r w:rsidR="000426FB" w:rsidRPr="00BB23A7">
        <w:t>,</w:t>
      </w:r>
      <w:r w:rsidRPr="00BB23A7">
        <w:t xml:space="preserve"> each course only has one section and no field of study was defined. However, unlike their model, we </w:t>
      </w:r>
      <w:r w:rsidR="000426FB" w:rsidRPr="00BB23A7">
        <w:t xml:space="preserve">maintained our assumptions of </w:t>
      </w:r>
      <w:r w:rsidRPr="00BB23A7">
        <w:t xml:space="preserve">overlapping courses </w:t>
      </w:r>
      <w:r w:rsidR="000426FB" w:rsidRPr="00BB23A7">
        <w:t>and that a student will not ranks all possible courses.</w:t>
      </w:r>
      <w:r w:rsidRPr="00BB23A7">
        <w:t xml:space="preserve"> Accordingly, </w:t>
      </w:r>
      <w:r w:rsidR="000426FB" w:rsidRPr="00BB23A7">
        <w:t xml:space="preserve">to quickly view the performance of the mechanisms under varying degrees of common-value, </w:t>
      </w:r>
      <w:r w:rsidRPr="00BB23A7">
        <w:t>equation (</w:t>
      </w:r>
      <w:r w:rsidR="000426FB" w:rsidRPr="00BB23A7">
        <w:t>2</w:t>
      </w:r>
      <w:r w:rsidRPr="00BB23A7">
        <w:t xml:space="preserve">1) </w:t>
      </w:r>
      <w:r w:rsidR="000426FB" w:rsidRPr="00BB23A7">
        <w:t>w</w:t>
      </w:r>
      <w:r w:rsidRPr="00BB23A7">
        <w:t xml:space="preserve">as used to define the </w:t>
      </w:r>
      <w:r w:rsidR="000426FB" w:rsidRPr="00BB23A7">
        <w:t xml:space="preserve">true </w:t>
      </w:r>
      <w:r w:rsidRPr="00BB23A7">
        <w:t xml:space="preserve">value of course </w:t>
      </w:r>
      <m:oMath>
        <m:r>
          <m:rPr>
            <m:sty m:val="p"/>
          </m:rPr>
          <w:rPr>
            <w:rFonts w:ascii="Cambria Math" w:hAnsi="Cambria Math"/>
          </w:rPr>
          <m:t xml:space="preserve">j </m:t>
        </m:r>
      </m:oMath>
      <w:r w:rsidRPr="00BB23A7">
        <w:t xml:space="preserve">for </w:t>
      </w:r>
      <w:proofErr w:type="gramStart"/>
      <w:r w:rsidRPr="00BB23A7">
        <w:t xml:space="preserve">student </w:t>
      </w:r>
      <w:proofErr w:type="gramEnd"/>
      <m:oMath>
        <m:r>
          <m:rPr>
            <m:sty m:val="p"/>
          </m:rPr>
          <w:rPr>
            <w:rFonts w:ascii="Cambria Math" w:hAnsi="Cambria Math"/>
          </w:rPr>
          <m:t>i</m:t>
        </m:r>
      </m:oMath>
      <w:r w:rsidRPr="00BB23A7">
        <w:t>.</w:t>
      </w:r>
    </w:p>
    <w:p w14:paraId="04F4EC7E" w14:textId="7FC58EAB" w:rsidR="009A51EE" w:rsidRPr="00BB23A7" w:rsidRDefault="001E01A4" w:rsidP="009A51EE">
      <w:pPr>
        <w:ind w:firstLine="360"/>
        <w:rPr>
          <w:rFonts w:eastAsiaTheme="minorEastAsia"/>
        </w:rPr>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ij</m:t>
            </m:r>
          </m:sub>
        </m:sSub>
        <m:r>
          <m:rPr>
            <m:sty m:val="p"/>
          </m:rPr>
          <w:rPr>
            <w:rFonts w:ascii="Cambria Math" w:hAnsi="Cambria Math"/>
          </w:rPr>
          <m:t>=(1-W)*</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ij</m:t>
            </m:r>
          </m:sub>
        </m:sSub>
        <m:r>
          <m:rPr>
            <m:sty m:val="p"/>
          </m:rPr>
          <w:rPr>
            <w:rFonts w:ascii="Cambria Math" w:hAnsi="Cambria Math"/>
          </w:rPr>
          <m:t>+W*</m:t>
        </m:r>
        <m:sSub>
          <m:sSubPr>
            <m:ctrlPr>
              <w:rPr>
                <w:rFonts w:ascii="Cambria Math" w:hAnsi="Cambria Math"/>
              </w:rPr>
            </m:ctrlPr>
          </m:sSubPr>
          <m:e>
            <m:r>
              <m:rPr>
                <m:sty m:val="p"/>
              </m:rPr>
              <w:rPr>
                <w:rFonts w:ascii="Cambria Math" w:hAnsi="Cambria Math"/>
              </w:rPr>
              <m:t>g</m:t>
            </m:r>
          </m:e>
          <m:sub>
            <m:r>
              <m:rPr>
                <m:sty m:val="p"/>
              </m:rPr>
              <w:rPr>
                <w:rFonts w:ascii="Cambria Math" w:hAnsi="Cambria Math"/>
              </w:rPr>
              <m:t>j</m:t>
            </m:r>
          </m:sub>
        </m:sSub>
        <m:r>
          <m:rPr>
            <m:sty m:val="p"/>
          </m:rPr>
          <w:rPr>
            <w:rFonts w:ascii="Cambria Math" w:hAnsi="Cambria Math"/>
          </w:rPr>
          <m:t xml:space="preserve"> </m:t>
        </m:r>
      </m:oMath>
      <w:r w:rsidR="009A51EE" w:rsidRPr="00BB23A7">
        <w:rPr>
          <w:rFonts w:eastAsiaTheme="minorEastAsia"/>
        </w:rPr>
        <w:t xml:space="preserve">  </w:t>
      </w:r>
      <w:r w:rsidR="009A51EE" w:rsidRPr="00BB23A7">
        <w:rPr>
          <w:rFonts w:eastAsiaTheme="minorEastAsia"/>
        </w:rPr>
        <w:tab/>
      </w:r>
      <w:r w:rsidR="009A51EE" w:rsidRPr="00BB23A7">
        <w:rPr>
          <w:rFonts w:eastAsiaTheme="minorEastAsia"/>
        </w:rPr>
        <w:tab/>
      </w:r>
      <w:r w:rsidR="009A51EE" w:rsidRPr="00BB23A7">
        <w:rPr>
          <w:rFonts w:eastAsiaTheme="minorEastAsia"/>
        </w:rPr>
        <w:tab/>
      </w:r>
      <w:r w:rsidR="009A51EE" w:rsidRPr="00BB23A7">
        <w:rPr>
          <w:rFonts w:eastAsiaTheme="minorEastAsia"/>
        </w:rPr>
        <w:tab/>
      </w:r>
      <w:r w:rsidR="009A51EE" w:rsidRPr="00BB23A7">
        <w:rPr>
          <w:rFonts w:eastAsiaTheme="minorEastAsia"/>
        </w:rPr>
        <w:tab/>
      </w:r>
      <w:r w:rsidR="009A51EE" w:rsidRPr="00BB23A7">
        <w:rPr>
          <w:rFonts w:eastAsiaTheme="minorEastAsia"/>
        </w:rPr>
        <w:tab/>
      </w:r>
      <w:r w:rsidR="009A51EE" w:rsidRPr="00BB23A7">
        <w:rPr>
          <w:rFonts w:eastAsiaTheme="minorEastAsia"/>
        </w:rPr>
        <w:tab/>
        <w:t>(21)</w:t>
      </w:r>
    </w:p>
    <w:p w14:paraId="53B9EE3D" w14:textId="5611F702" w:rsidR="000426FB" w:rsidRPr="00BB23A7" w:rsidRDefault="009A51EE" w:rsidP="009A51EE">
      <w:pPr>
        <w:tabs>
          <w:tab w:val="left" w:pos="1440"/>
          <w:tab w:val="left" w:pos="5760"/>
        </w:tabs>
        <w:ind w:firstLine="360"/>
        <w:contextualSpacing/>
        <w:rPr>
          <w:rFonts w:eastAsiaTheme="minorEastAsia"/>
        </w:rPr>
      </w:pPr>
      <w:r w:rsidRPr="00BB23A7">
        <w:rPr>
          <w:rFonts w:eastAsiaTheme="minorEastAsia"/>
        </w:rPr>
        <w:t xml:space="preserve">In equation (21),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ij</m:t>
            </m:r>
          </m:sub>
        </m:sSub>
      </m:oMath>
      <w:r w:rsidRPr="00BB23A7">
        <w:rPr>
          <w:rFonts w:eastAsiaTheme="minorEastAsia"/>
        </w:rPr>
        <w:t xml:space="preserve"> and </w:t>
      </w:r>
      <m:oMath>
        <m:sSub>
          <m:sSubPr>
            <m:ctrlPr>
              <w:rPr>
                <w:rFonts w:ascii="Cambria Math" w:eastAsiaTheme="minorEastAsia" w:hAnsi="Cambria Math"/>
              </w:rPr>
            </m:ctrlPr>
          </m:sSubPr>
          <m:e>
            <m:r>
              <m:rPr>
                <m:sty m:val="p"/>
              </m:rPr>
              <w:rPr>
                <w:rFonts w:ascii="Cambria Math" w:eastAsiaTheme="minorEastAsia" w:hAnsi="Cambria Math"/>
              </w:rPr>
              <m:t>g</m:t>
            </m:r>
          </m:e>
          <m:sub>
            <m:r>
              <m:rPr>
                <m:sty m:val="p"/>
              </m:rPr>
              <w:rPr>
                <w:rFonts w:ascii="Cambria Math" w:eastAsiaTheme="minorEastAsia" w:hAnsi="Cambria Math"/>
              </w:rPr>
              <m:t>j</m:t>
            </m:r>
          </m:sub>
        </m:sSub>
        <m:r>
          <m:rPr>
            <m:sty m:val="p"/>
          </m:rPr>
          <w:rPr>
            <w:rFonts w:ascii="Cambria Math" w:eastAsiaTheme="minorEastAsia" w:hAnsi="Cambria Math"/>
          </w:rPr>
          <m:t xml:space="preserve"> </m:t>
        </m:r>
      </m:oMath>
      <w:r w:rsidRPr="00BB23A7">
        <w:rPr>
          <w:rFonts w:eastAsiaTheme="minorEastAsia"/>
        </w:rPr>
        <w:t xml:space="preserve">are independently selected from the standard normal distribution and </w:t>
      </w:r>
      <m:oMath>
        <m:r>
          <m:rPr>
            <m:sty m:val="p"/>
          </m:rPr>
          <w:rPr>
            <w:rFonts w:ascii="Cambria Math" w:eastAsiaTheme="minorEastAsia" w:hAnsi="Cambria Math"/>
          </w:rPr>
          <m:t>W</m:t>
        </m:r>
      </m:oMath>
      <w:r w:rsidR="000426FB" w:rsidRPr="00BB23A7">
        <w:rPr>
          <w:rFonts w:eastAsiaTheme="minorEastAsia"/>
        </w:rPr>
        <w:t xml:space="preserve"> wa</w:t>
      </w:r>
      <w:proofErr w:type="spellStart"/>
      <w:r w:rsidRPr="00BB23A7">
        <w:rPr>
          <w:rFonts w:eastAsiaTheme="minorEastAsia"/>
        </w:rPr>
        <w:t>s</w:t>
      </w:r>
      <w:proofErr w:type="spellEnd"/>
      <w:r w:rsidRPr="00BB23A7">
        <w:rPr>
          <w:rFonts w:eastAsiaTheme="minorEastAsia"/>
        </w:rPr>
        <w:t xml:space="preserve"> </w:t>
      </w:r>
      <w:r w:rsidR="000426FB" w:rsidRPr="00BB23A7">
        <w:rPr>
          <w:rFonts w:eastAsiaTheme="minorEastAsia"/>
        </w:rPr>
        <w:t>varied a</w:t>
      </w:r>
      <w:r w:rsidRPr="00BB23A7">
        <w:rPr>
          <w:rFonts w:eastAsiaTheme="minorEastAsia"/>
        </w:rPr>
        <w:t xml:space="preserve">s </w:t>
      </w:r>
      <w:r w:rsidR="000426FB" w:rsidRPr="00BB23A7">
        <w:rPr>
          <w:rFonts w:eastAsiaTheme="minorEastAsia"/>
        </w:rPr>
        <w:t xml:space="preserve">a treatment </w:t>
      </w:r>
      <w:r w:rsidRPr="00BB23A7">
        <w:rPr>
          <w:rFonts w:eastAsiaTheme="minorEastAsia"/>
        </w:rPr>
        <w:t xml:space="preserve">parameter. </w:t>
      </w:r>
      <w:proofErr w:type="gramStart"/>
      <w:r w:rsidRPr="00BB23A7">
        <w:rPr>
          <w:rFonts w:eastAsiaTheme="minorEastAsia"/>
        </w:rPr>
        <w:t xml:space="preserve">When </w:t>
      </w:r>
      <w:proofErr w:type="gramEnd"/>
      <m:oMath>
        <m:r>
          <m:rPr>
            <m:sty m:val="p"/>
          </m:rPr>
          <w:rPr>
            <w:rFonts w:ascii="Cambria Math" w:eastAsiaTheme="minorEastAsia" w:hAnsi="Cambria Math"/>
          </w:rPr>
          <m:t>W=1</m:t>
        </m:r>
      </m:oMath>
      <w:r w:rsidRPr="00BB23A7">
        <w:rPr>
          <w:rFonts w:eastAsiaTheme="minorEastAsia"/>
        </w:rPr>
        <w:t>, all students exactly bid equally for each course</w:t>
      </w:r>
      <w:r w:rsidR="000426FB" w:rsidRPr="00BB23A7">
        <w:rPr>
          <w:rFonts w:eastAsiaTheme="minorEastAsia"/>
        </w:rPr>
        <w:t>,</w:t>
      </w:r>
      <w:r w:rsidRPr="00BB23A7">
        <w:rPr>
          <w:rFonts w:eastAsiaTheme="minorEastAsia"/>
        </w:rPr>
        <w:t xml:space="preserve"> while if </w:t>
      </w:r>
      <m:oMath>
        <m:r>
          <m:rPr>
            <m:sty m:val="p"/>
          </m:rPr>
          <w:rPr>
            <w:rFonts w:ascii="Cambria Math" w:eastAsiaTheme="minorEastAsia" w:hAnsi="Cambria Math"/>
          </w:rPr>
          <m:t>W=0</m:t>
        </m:r>
      </m:oMath>
      <w:r w:rsidRPr="00BB23A7">
        <w:rPr>
          <w:rFonts w:eastAsiaTheme="minorEastAsia"/>
        </w:rPr>
        <w:t xml:space="preserve"> students utilities for each course are totally independent. </w:t>
      </w:r>
      <w:proofErr w:type="gramStart"/>
      <w:r w:rsidR="000426FB" w:rsidRPr="00BB23A7">
        <w:rPr>
          <w:rFonts w:eastAsiaTheme="minorEastAsia"/>
        </w:rPr>
        <w:t>W</w:t>
      </w:r>
      <w:r w:rsidRPr="00BB23A7">
        <w:rPr>
          <w:rFonts w:eastAsiaTheme="minorEastAsia"/>
        </w:rPr>
        <w:t xml:space="preserve">hen </w:t>
      </w:r>
      <w:proofErr w:type="gramEnd"/>
      <m:oMath>
        <m:r>
          <m:rPr>
            <m:sty m:val="p"/>
          </m:rPr>
          <w:rPr>
            <w:rFonts w:ascii="Cambria Math" w:eastAsiaTheme="minorEastAsia" w:hAnsi="Cambria Math"/>
          </w:rPr>
          <m:t>0&lt;W&lt;1</m:t>
        </m:r>
      </m:oMath>
      <w:r w:rsidRPr="00BB23A7">
        <w:rPr>
          <w:rFonts w:eastAsiaTheme="minorEastAsia"/>
        </w:rPr>
        <w:t xml:space="preserve">, student preferences are partially correlated </w:t>
      </w:r>
      <w:r w:rsidR="000426FB" w:rsidRPr="00BB23A7">
        <w:rPr>
          <w:rFonts w:eastAsiaTheme="minorEastAsia"/>
        </w:rPr>
        <w:t>in varying degrees</w:t>
      </w:r>
      <w:r w:rsidRPr="00BB23A7">
        <w:rPr>
          <w:rFonts w:eastAsiaTheme="minorEastAsia"/>
        </w:rPr>
        <w:t>.</w:t>
      </w:r>
      <w:r w:rsidRPr="00BB23A7">
        <w:rPr>
          <w:rFonts w:cstheme="minorHAnsi"/>
        </w:rPr>
        <w:t xml:space="preserve"> In our analysis, </w:t>
      </w:r>
      <w:r w:rsidRPr="00BB23A7">
        <w:t xml:space="preserve">we compared algorithms in five </w:t>
      </w:r>
      <w:r w:rsidRPr="00BB23A7">
        <w:lastRenderedPageBreak/>
        <w:t xml:space="preserve">conditions: </w:t>
      </w:r>
      <m:oMath>
        <m:r>
          <m:rPr>
            <m:sty m:val="p"/>
          </m:rPr>
          <w:rPr>
            <w:rFonts w:ascii="Cambria Math" w:hAnsi="Cambria Math"/>
          </w:rPr>
          <m:t>W</m:t>
        </m:r>
      </m:oMath>
      <w:r w:rsidRPr="00BB23A7">
        <w:rPr>
          <w:rFonts w:eastAsiaTheme="minorEastAsia"/>
        </w:rPr>
        <w:t xml:space="preserve"> equals to 1, 0.9, 0.5, 0.1, and 0.0. As </w:t>
      </w:r>
      <m:oMath>
        <m:r>
          <m:rPr>
            <m:sty m:val="p"/>
          </m:rPr>
          <w:rPr>
            <w:rFonts w:ascii="Cambria Math" w:eastAsiaTheme="minorEastAsia" w:hAnsi="Cambria Math"/>
          </w:rPr>
          <m:t>W</m:t>
        </m:r>
      </m:oMath>
      <w:r w:rsidRPr="00BB23A7">
        <w:rPr>
          <w:rFonts w:eastAsiaTheme="minorEastAsia"/>
        </w:rPr>
        <w:t xml:space="preserve"> increases, the correlation among student preferences increases and bid values and rank values of each course among students become more similar to each other.</w:t>
      </w:r>
    </w:p>
    <w:p w14:paraId="70989186" w14:textId="5A7C0E12" w:rsidR="009A51EE" w:rsidRPr="00BB23A7" w:rsidRDefault="000426FB" w:rsidP="00C6744F">
      <w:pPr>
        <w:tabs>
          <w:tab w:val="left" w:pos="1440"/>
          <w:tab w:val="left" w:pos="5760"/>
        </w:tabs>
        <w:ind w:firstLine="360"/>
        <w:contextualSpacing/>
      </w:pPr>
      <w:r w:rsidRPr="00BB23A7">
        <w:rPr>
          <w:rFonts w:eastAsiaTheme="minorEastAsia"/>
        </w:rPr>
        <w:t xml:space="preserve">Incentives were not considered </w:t>
      </w:r>
      <w:r w:rsidR="00C6744F" w:rsidRPr="00BB23A7">
        <w:rPr>
          <w:rFonts w:eastAsiaTheme="minorEastAsia"/>
        </w:rPr>
        <w:t xml:space="preserve">in this set of experiments. Where </w:t>
      </w:r>
      <w:r w:rsidR="00C6744F" w:rsidRPr="00BB23A7">
        <w:t xml:space="preserve">§5 and Appendix C varied a personalized parameter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i</m:t>
            </m:r>
          </m:sub>
        </m:sSub>
      </m:oMath>
      <w:r w:rsidR="00C6744F" w:rsidRPr="00BB23A7">
        <w:rPr>
          <w:rFonts w:eastAsiaTheme="minorEastAsia"/>
        </w:rPr>
        <w:t xml:space="preserve"> (in equation 20) </w:t>
      </w:r>
      <w:r w:rsidR="00C6744F" w:rsidRPr="00BB23A7">
        <w:t xml:space="preserve">to capture manipulation of true values for a studied of incentives, here the single value </w:t>
      </w:r>
      <m:oMath>
        <m:r>
          <m:rPr>
            <m:sty m:val="p"/>
          </m:rPr>
          <w:rPr>
            <w:rFonts w:ascii="Cambria Math" w:hAnsi="Cambria Math"/>
          </w:rPr>
          <m:t>W</m:t>
        </m:r>
      </m:oMath>
      <w:r w:rsidR="00C6744F" w:rsidRPr="00BB23A7">
        <w:t xml:space="preserve"> is varied to change true preferences across the entire market. So here, rather than asking how</w:t>
      </w:r>
      <w:r w:rsidR="008A2801" w:rsidRPr="00BB23A7">
        <w:t xml:space="preserve"> manipulation a</w:t>
      </w:r>
      <w:r w:rsidR="00C6744F" w:rsidRPr="00BB23A7">
        <w:t>ffects outcome when some pretend to have a larger than truthful amount of common value, we ask how does the market as a whole perform when more or less common value is present in true valuations. For a further element of robustness, we drop some of the constructs of realism described in Appendix A, in which</w:t>
      </w:r>
      <w:r w:rsidR="008A2801" w:rsidRPr="00BB23A7">
        <w:t xml:space="preserve"> students have major fields of study</w:t>
      </w:r>
      <w:r w:rsidR="00C6744F" w:rsidRPr="00BB23A7">
        <w:t>.</w:t>
      </w:r>
      <w:r w:rsidR="008A2801" w:rsidRPr="00BB23A7">
        <w:t xml:space="preserve"> Here the focus is instead on more random instances, trying to see how well our algorithms perform under more extreme circumstances.</w:t>
      </w:r>
    </w:p>
    <w:p w14:paraId="2813A868" w14:textId="2EE15C45" w:rsidR="009A51EE" w:rsidRPr="00BB23A7" w:rsidRDefault="008A2801" w:rsidP="009A51EE">
      <w:pPr>
        <w:pStyle w:val="Heading2"/>
      </w:pPr>
      <w:r w:rsidRPr="00BB23A7">
        <w:t xml:space="preserve">D.1 </w:t>
      </w:r>
      <w:r w:rsidR="009A51EE" w:rsidRPr="00BB23A7">
        <w:t>Binary Utility</w:t>
      </w:r>
    </w:p>
    <w:p w14:paraId="153078D2" w14:textId="2DE292C6" w:rsidR="009A51EE" w:rsidRPr="00BB23A7" w:rsidRDefault="008A2801" w:rsidP="008A2801">
      <w:pPr>
        <w:ind w:firstLine="360"/>
        <w:rPr>
          <w:rFonts w:eastAsiaTheme="minorEastAsia"/>
        </w:rPr>
      </w:pPr>
      <w:r w:rsidRPr="00BB23A7">
        <w:t xml:space="preserve">Looking at Figure D.1, </w:t>
      </w:r>
      <w:r w:rsidR="009A51EE" w:rsidRPr="00BB23A7">
        <w:t xml:space="preserve">our results show that when </w:t>
      </w:r>
      <m:oMath>
        <m:r>
          <m:rPr>
            <m:sty m:val="p"/>
          </m:rPr>
          <w:rPr>
            <w:rFonts w:ascii="Cambria Math" w:hAnsi="Cambria Math"/>
          </w:rPr>
          <m:t>W</m:t>
        </m:r>
      </m:oMath>
      <w:r w:rsidR="009A51EE" w:rsidRPr="00BB23A7">
        <w:rPr>
          <w:rFonts w:eastAsiaTheme="minorEastAsia"/>
        </w:rPr>
        <w:t xml:space="preserve"> is small (0 or 0.1) and student preferences over their top 30 to 35 courses are mostly random and uncorrelated to each other, each student did receive exactly 6 courses in all algorithms and in all 100 market instances therefore all algorithms could assign 5400 seats to students. When </w:t>
      </w:r>
      <m:oMath>
        <m:r>
          <m:rPr>
            <m:sty m:val="p"/>
          </m:rPr>
          <w:rPr>
            <w:rFonts w:ascii="Cambria Math" w:eastAsiaTheme="minorEastAsia" w:hAnsi="Cambria Math"/>
          </w:rPr>
          <m:t>W</m:t>
        </m:r>
      </m:oMath>
      <w:r w:rsidR="009A51EE" w:rsidRPr="00BB23A7">
        <w:rPr>
          <w:rFonts w:eastAsiaTheme="minorEastAsia"/>
        </w:rPr>
        <w:t xml:space="preserve"> is equal to 0.5, </w:t>
      </w:r>
      <w:r w:rsidR="009A51EE" w:rsidRPr="00BB23A7">
        <w:t>t</w:t>
      </w:r>
      <w:r w:rsidR="009A51EE" w:rsidRPr="00BB23A7">
        <w:rPr>
          <w:rFonts w:eastAsiaTheme="minorEastAsia"/>
        </w:rPr>
        <w:t>he only algorithm which assigns all 5400 seats is OC while BPM misses the most seats in comparison to other algorithms</w:t>
      </w:r>
      <w:r w:rsidRPr="00BB23A7">
        <w:rPr>
          <w:rFonts w:eastAsiaTheme="minorEastAsia"/>
        </w:rPr>
        <w:t xml:space="preserve">, as before. </w:t>
      </w:r>
      <w:r w:rsidR="009A51EE" w:rsidRPr="00BB23A7">
        <w:rPr>
          <w:rFonts w:eastAsiaTheme="minorEastAsia"/>
        </w:rPr>
        <w:t xml:space="preserve">When </w:t>
      </w:r>
      <m:oMath>
        <m:r>
          <m:rPr>
            <m:sty m:val="p"/>
          </m:rPr>
          <w:rPr>
            <w:rFonts w:ascii="Cambria Math" w:eastAsiaTheme="minorEastAsia" w:hAnsi="Cambria Math"/>
          </w:rPr>
          <m:t xml:space="preserve">W </m:t>
        </m:r>
      </m:oMath>
      <w:r w:rsidR="009A51EE" w:rsidRPr="00BB23A7">
        <w:rPr>
          <w:rFonts w:eastAsiaTheme="minorEastAsia"/>
        </w:rPr>
        <w:t>increases to 0.9, the Draft mechanism assigns the lowest number of seats among dif</w:t>
      </w:r>
      <w:proofErr w:type="spellStart"/>
      <w:r w:rsidR="009A51EE" w:rsidRPr="00BB23A7">
        <w:rPr>
          <w:rFonts w:eastAsiaTheme="minorEastAsia"/>
        </w:rPr>
        <w:t>ferent</w:t>
      </w:r>
      <w:proofErr w:type="spellEnd"/>
      <w:r w:rsidR="009A51EE" w:rsidRPr="00BB23A7">
        <w:rPr>
          <w:rFonts w:eastAsiaTheme="minorEastAsia"/>
        </w:rPr>
        <w:t xml:space="preserve"> algorithms.</w:t>
      </w:r>
      <w:r w:rsidRPr="00BB23A7">
        <w:rPr>
          <w:rFonts w:eastAsiaTheme="minorEastAsia"/>
        </w:rPr>
        <w:t xml:space="preserve"> Without ranking all courses (students only list their favorite 30-35 courses out of 83 available) assigning all seats becomes increasingly difficult for all algorithms as </w:t>
      </w:r>
      <m:oMath>
        <m:r>
          <m:rPr>
            <m:sty m:val="p"/>
          </m:rPr>
          <w:rPr>
            <w:rFonts w:ascii="Cambria Math" w:eastAsiaTheme="minorEastAsia" w:hAnsi="Cambria Math"/>
          </w:rPr>
          <m:t>W</m:t>
        </m:r>
      </m:oMath>
      <w:r w:rsidRPr="00BB23A7">
        <w:rPr>
          <w:rFonts w:eastAsiaTheme="minorEastAsia"/>
        </w:rPr>
        <w:t xml:space="preserve"> increases.</w:t>
      </w:r>
      <w:r w:rsidR="009A51EE" w:rsidRPr="00BB23A7">
        <w:rPr>
          <w:rFonts w:eastAsiaTheme="minorEastAsia"/>
        </w:rPr>
        <w:t xml:space="preserve"> </w:t>
      </w:r>
      <w:r w:rsidRPr="00BB23A7">
        <w:rPr>
          <w:rFonts w:eastAsiaTheme="minorEastAsia"/>
        </w:rPr>
        <w:t>As everyone’s preferences converge to the same favorite courses, it becomes impossible to assign courses that no one has asked for. As seen in Figure D.1,</w:t>
      </w:r>
      <w:r w:rsidR="009A51EE" w:rsidRPr="00BB23A7">
        <w:rPr>
          <w:rFonts w:eastAsiaTheme="minorEastAsia"/>
        </w:rPr>
        <w:t xml:space="preserve"> OC still achieves the best </w:t>
      </w:r>
      <w:r w:rsidRPr="00BB23A7">
        <w:rPr>
          <w:rFonts w:eastAsiaTheme="minorEastAsia"/>
        </w:rPr>
        <w:t xml:space="preserve">binary utility </w:t>
      </w:r>
      <w:r w:rsidR="009A51EE" w:rsidRPr="00BB23A7">
        <w:rPr>
          <w:rFonts w:eastAsiaTheme="minorEastAsia"/>
        </w:rPr>
        <w:t>outcome</w:t>
      </w:r>
      <w:r w:rsidRPr="00BB23A7">
        <w:rPr>
          <w:rFonts w:eastAsiaTheme="minorEastAsia"/>
        </w:rPr>
        <w:t>,</w:t>
      </w:r>
      <w:r w:rsidR="009A51EE" w:rsidRPr="00BB23A7">
        <w:rPr>
          <w:rFonts w:eastAsiaTheme="minorEastAsia"/>
        </w:rPr>
        <w:t xml:space="preserve"> </w:t>
      </w:r>
      <w:r w:rsidRPr="00BB23A7">
        <w:rPr>
          <w:rFonts w:eastAsiaTheme="minorEastAsia"/>
        </w:rPr>
        <w:t>a</w:t>
      </w:r>
      <w:r w:rsidR="009A51EE" w:rsidRPr="00BB23A7">
        <w:rPr>
          <w:rFonts w:eastAsiaTheme="minorEastAsia"/>
        </w:rPr>
        <w:t>ssign</w:t>
      </w:r>
      <w:r w:rsidRPr="00BB23A7">
        <w:rPr>
          <w:rFonts w:eastAsiaTheme="minorEastAsia"/>
        </w:rPr>
        <w:t>ing</w:t>
      </w:r>
      <w:r w:rsidR="009A51EE" w:rsidRPr="00BB23A7">
        <w:rPr>
          <w:rFonts w:eastAsiaTheme="minorEastAsia"/>
        </w:rPr>
        <w:t xml:space="preserve"> the maximum number of seats among different algorithms. However, even OC cannot assign more than about half of offered seats</w:t>
      </w:r>
      <w:r w:rsidR="00916CD0" w:rsidRPr="00BB23A7">
        <w:rPr>
          <w:rFonts w:eastAsiaTheme="minorEastAsia"/>
        </w:rPr>
        <w:t xml:space="preserve"> as </w:t>
      </w:r>
      <m:oMath>
        <m:r>
          <m:rPr>
            <m:sty m:val="p"/>
          </m:rPr>
          <w:rPr>
            <w:rFonts w:ascii="Cambria Math" w:eastAsiaTheme="minorEastAsia" w:hAnsi="Cambria Math"/>
          </w:rPr>
          <m:t>W</m:t>
        </m:r>
      </m:oMath>
      <w:r w:rsidR="009A51EE" w:rsidRPr="00BB23A7">
        <w:rPr>
          <w:rFonts w:eastAsiaTheme="minorEastAsia"/>
        </w:rPr>
        <w:t xml:space="preserve"> </w:t>
      </w:r>
      <w:r w:rsidR="00916CD0" w:rsidRPr="00BB23A7">
        <w:rPr>
          <w:rFonts w:eastAsiaTheme="minorEastAsia"/>
        </w:rPr>
        <w:t>approache</w:t>
      </w:r>
      <w:r w:rsidR="009A51EE" w:rsidRPr="00BB23A7">
        <w:rPr>
          <w:rFonts w:eastAsiaTheme="minorEastAsia"/>
        </w:rPr>
        <w:t xml:space="preserve">s 1. </w:t>
      </w:r>
    </w:p>
    <w:p w14:paraId="7F97DE5C" w14:textId="3E19F029" w:rsidR="009A51EE" w:rsidRPr="00BB23A7" w:rsidRDefault="009A51EE" w:rsidP="009A51EE">
      <w:pPr>
        <w:tabs>
          <w:tab w:val="left" w:pos="1440"/>
          <w:tab w:val="left" w:pos="5760"/>
        </w:tabs>
        <w:ind w:firstLine="360"/>
        <w:contextualSpacing/>
        <w:jc w:val="center"/>
        <w:rPr>
          <w:rFonts w:eastAsiaTheme="minorEastAsia"/>
        </w:rPr>
      </w:pPr>
      <w:r w:rsidRPr="00BB23A7">
        <w:t xml:space="preserve">Figure </w:t>
      </w:r>
      <w:r w:rsidR="008A2801" w:rsidRPr="00BB23A7">
        <w:t>D.</w:t>
      </w:r>
      <w:r w:rsidRPr="00BB23A7">
        <w:t>1 - The average total binary utility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8A2801" w:rsidRPr="00BB23A7">
        <w:rPr>
          <w:rFonts w:eastAsiaTheme="minorEastAsia"/>
        </w:rPr>
        <w:t>.</w:t>
      </w:r>
      <w:r w:rsidR="004939C6" w:rsidRPr="00BB23A7">
        <w:rPr>
          <w:noProof/>
        </w:rPr>
        <w:t xml:space="preserve"> </w:t>
      </w:r>
      <w:r w:rsidR="004939C6" w:rsidRPr="00BB23A7">
        <w:rPr>
          <w:noProof/>
        </w:rPr>
        <w:drawing>
          <wp:inline distT="0" distB="0" distL="0" distR="0" wp14:anchorId="6A32E40F" wp14:editId="7A2784DE">
            <wp:extent cx="4459265" cy="1766170"/>
            <wp:effectExtent l="0" t="0" r="17780" b="5715"/>
            <wp:docPr id="41" name="Chart 41">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03A79F8" w14:textId="5C8C6694" w:rsidR="009A51EE" w:rsidRPr="00BB23A7" w:rsidRDefault="00916CD0" w:rsidP="009A51EE">
      <w:pPr>
        <w:pStyle w:val="Heading2"/>
        <w:rPr>
          <w:rFonts w:eastAsiaTheme="minorEastAsia"/>
        </w:rPr>
      </w:pPr>
      <w:r w:rsidRPr="00BB23A7">
        <w:rPr>
          <w:rFonts w:eastAsiaTheme="minorEastAsia"/>
        </w:rPr>
        <w:t xml:space="preserve">D.2 </w:t>
      </w:r>
      <w:r w:rsidR="009A51EE" w:rsidRPr="00BB23A7">
        <w:rPr>
          <w:rFonts w:eastAsiaTheme="minorEastAsia"/>
        </w:rPr>
        <w:t>Range of Binary Utility</w:t>
      </w:r>
    </w:p>
    <w:p w14:paraId="5E65CD06" w14:textId="36C11A3A" w:rsidR="009A51EE" w:rsidRPr="00BB23A7" w:rsidRDefault="00916CD0" w:rsidP="009B4331">
      <w:pPr>
        <w:tabs>
          <w:tab w:val="left" w:pos="1440"/>
          <w:tab w:val="left" w:pos="5760"/>
        </w:tabs>
        <w:ind w:firstLine="360"/>
        <w:contextualSpacing/>
        <w:rPr>
          <w:rFonts w:eastAsiaTheme="minorEastAsia" w:cstheme="minorHAnsi"/>
        </w:rPr>
      </w:pPr>
      <w:r w:rsidRPr="00BB23A7">
        <w:rPr>
          <w:rFonts w:eastAsiaTheme="minorEastAsia"/>
        </w:rPr>
        <w:t xml:space="preserve">As already noted, </w:t>
      </w:r>
      <w:r w:rsidR="009A51EE" w:rsidRPr="00BB23A7">
        <w:rPr>
          <w:rFonts w:eastAsiaTheme="minorEastAsia"/>
        </w:rPr>
        <w:t xml:space="preserve">for small values of </w:t>
      </w:r>
      <m:oMath>
        <m:r>
          <m:rPr>
            <m:sty m:val="p"/>
          </m:rPr>
          <w:rPr>
            <w:rFonts w:ascii="Cambria Math" w:eastAsiaTheme="minorEastAsia" w:hAnsi="Cambria Math"/>
          </w:rPr>
          <m:t xml:space="preserve">W </m:t>
        </m:r>
      </m:oMath>
      <w:r w:rsidR="009A51EE" w:rsidRPr="00BB23A7">
        <w:rPr>
          <w:rFonts w:eastAsiaTheme="minorEastAsia"/>
        </w:rPr>
        <w:t xml:space="preserve">such as 0 or 0.1 is exactly 0 since in these conditions all algorithms are able to assign 5400 seats to students and all students can take 6 courses. However, </w:t>
      </w:r>
      <w:r w:rsidRPr="00BB23A7">
        <w:rPr>
          <w:rFonts w:eastAsiaTheme="minorEastAsia"/>
        </w:rPr>
        <w:t>as</w:t>
      </w:r>
      <w:r w:rsidR="009A51EE" w:rsidRPr="00BB23A7">
        <w:rPr>
          <w:rFonts w:eastAsiaTheme="minorEastAsia"/>
        </w:rPr>
        <w:t xml:space="preserve"> </w:t>
      </w:r>
      <m:oMath>
        <m:r>
          <m:rPr>
            <m:sty m:val="p"/>
          </m:rPr>
          <w:rPr>
            <w:rFonts w:ascii="Cambria Math" w:eastAsiaTheme="minorEastAsia" w:hAnsi="Cambria Math"/>
          </w:rPr>
          <m:t>W</m:t>
        </m:r>
      </m:oMath>
      <w:r w:rsidR="009A51EE" w:rsidRPr="00BB23A7">
        <w:rPr>
          <w:rFonts w:eastAsiaTheme="minorEastAsia"/>
        </w:rPr>
        <w:t xml:space="preserve"> </w:t>
      </w:r>
      <w:r w:rsidRPr="00BB23A7">
        <w:rPr>
          <w:rFonts w:eastAsiaTheme="minorEastAsia"/>
        </w:rPr>
        <w:t xml:space="preserve">increases </w:t>
      </w:r>
      <w:r w:rsidR="009A51EE" w:rsidRPr="00BB23A7">
        <w:rPr>
          <w:rFonts w:eastAsiaTheme="minorEastAsia"/>
        </w:rPr>
        <w:t xml:space="preserve">not all algorithms are able to assign the maximum number of courses. When </w:t>
      </w:r>
      <m:oMath>
        <m:r>
          <m:rPr>
            <m:sty m:val="p"/>
          </m:rPr>
          <w:rPr>
            <w:rFonts w:ascii="Cambria Math" w:eastAsiaTheme="minorEastAsia" w:hAnsi="Cambria Math"/>
          </w:rPr>
          <m:t xml:space="preserve">W </m:t>
        </m:r>
      </m:oMath>
      <w:r w:rsidR="009A51EE" w:rsidRPr="00BB23A7">
        <w:rPr>
          <w:rFonts w:eastAsiaTheme="minorEastAsia"/>
        </w:rPr>
        <w:t>is e</w:t>
      </w:r>
      <w:proofErr w:type="spellStart"/>
      <w:r w:rsidR="009A51EE" w:rsidRPr="00BB23A7">
        <w:rPr>
          <w:rFonts w:eastAsiaTheme="minorEastAsia"/>
        </w:rPr>
        <w:t>qual</w:t>
      </w:r>
      <w:proofErr w:type="spellEnd"/>
      <w:r w:rsidR="009A51EE" w:rsidRPr="00BB23A7">
        <w:rPr>
          <w:rFonts w:eastAsiaTheme="minorEastAsia"/>
        </w:rPr>
        <w:t xml:space="preserve"> to 0.5, </w:t>
      </w:r>
      <w:r w:rsidR="009A51EE" w:rsidRPr="00BB23A7">
        <w:rPr>
          <w:rFonts w:eastAsiaTheme="minorEastAsia"/>
        </w:rPr>
        <w:lastRenderedPageBreak/>
        <w:t xml:space="preserve">BPM achieves the highest range of binary utility and the most unfair solutions. </w:t>
      </w:r>
      <w:r w:rsidRPr="00BB23A7">
        <w:rPr>
          <w:rFonts w:eastAsiaTheme="minorEastAsia" w:cstheme="minorHAnsi"/>
        </w:rPr>
        <w:t xml:space="preserve">These </w:t>
      </w:r>
      <w:r w:rsidR="009A51EE" w:rsidRPr="00BB23A7">
        <w:rPr>
          <w:rFonts w:eastAsiaTheme="minorEastAsia" w:cstheme="minorHAnsi"/>
        </w:rPr>
        <w:t xml:space="preserve">results reveal that in 99 instances of 100 instances </w:t>
      </w:r>
      <w:r w:rsidRPr="00BB23A7">
        <w:rPr>
          <w:rFonts w:eastAsiaTheme="minorEastAsia" w:cstheme="minorHAnsi"/>
        </w:rPr>
        <w:t xml:space="preserve">BPM </w:t>
      </w:r>
      <w:r w:rsidR="009A51EE" w:rsidRPr="00BB23A7">
        <w:rPr>
          <w:rFonts w:eastAsiaTheme="minorEastAsia" w:cstheme="minorHAnsi"/>
        </w:rPr>
        <w:t xml:space="preserve">assigned 2 or fewer seats to the student with minimum number of courses while for OC this number is always 6. However, when </w:t>
      </w:r>
      <m:oMath>
        <m:r>
          <m:rPr>
            <m:sty m:val="p"/>
          </m:rPr>
          <w:rPr>
            <w:rFonts w:ascii="Cambria Math" w:eastAsiaTheme="minorEastAsia" w:hAnsi="Cambria Math" w:cstheme="minorHAnsi"/>
          </w:rPr>
          <m:t xml:space="preserve">W </m:t>
        </m:r>
      </m:oMath>
      <w:r w:rsidR="009A51EE" w:rsidRPr="00BB23A7">
        <w:rPr>
          <w:rFonts w:eastAsiaTheme="minorEastAsia" w:cstheme="minorHAnsi"/>
        </w:rPr>
        <w:t xml:space="preserve">increases to 0.9 or 1, in each of our simulated market instances, there is at least one student who could not receive even one course based on OC algorithm. </w:t>
      </w:r>
      <w:r w:rsidRPr="00BB23A7">
        <w:rPr>
          <w:rFonts w:eastAsiaTheme="minorEastAsia" w:cstheme="minorHAnsi"/>
        </w:rPr>
        <w:t>I</w:t>
      </w:r>
      <w:r w:rsidR="009A51EE" w:rsidRPr="00BB23A7">
        <w:rPr>
          <w:rFonts w:eastAsiaTheme="minorEastAsia" w:cstheme="minorHAnsi"/>
        </w:rPr>
        <w:t>n these examples, the rank and bid of each specific course for all students is almost the same and the algorithm does not care to assign a specific course to a student who already has other courses or to a student wi</w:t>
      </w:r>
      <w:r w:rsidRPr="00BB23A7">
        <w:rPr>
          <w:rFonts w:eastAsiaTheme="minorEastAsia" w:cstheme="minorHAnsi"/>
        </w:rPr>
        <w:t xml:space="preserve">th no course. As a result, when preferences are so correlated that less than full schedules are necessary, OC has no built-in safe guard to assign courses equitably. Thus, if OC were to be implemented in </w:t>
      </w:r>
      <w:r w:rsidR="009B4331" w:rsidRPr="00BB23A7">
        <w:rPr>
          <w:rFonts w:eastAsiaTheme="minorEastAsia" w:cstheme="minorHAnsi"/>
        </w:rPr>
        <w:t xml:space="preserve">situations of extreme correlation additional constraints would be needed. </w:t>
      </w:r>
      <w:r w:rsidR="009A51EE" w:rsidRPr="00BB23A7">
        <w:rPr>
          <w:rFonts w:eastAsiaTheme="minorEastAsia" w:cstheme="minorHAnsi"/>
        </w:rPr>
        <w:t xml:space="preserve">In other words, when </w:t>
      </w:r>
      <m:oMath>
        <m:r>
          <m:rPr>
            <m:sty m:val="p"/>
          </m:rPr>
          <w:rPr>
            <w:rFonts w:ascii="Cambria Math" w:eastAsiaTheme="minorEastAsia" w:hAnsi="Cambria Math" w:cstheme="minorHAnsi"/>
          </w:rPr>
          <m:t>W</m:t>
        </m:r>
      </m:oMath>
      <w:r w:rsidR="009A51EE" w:rsidRPr="00BB23A7">
        <w:rPr>
          <w:rFonts w:eastAsiaTheme="minorEastAsia" w:cstheme="minorHAnsi"/>
        </w:rPr>
        <w:t xml:space="preserve"> is large, we need to add constraint</w:t>
      </w:r>
      <w:r w:rsidR="009B4331" w:rsidRPr="00BB23A7">
        <w:rPr>
          <w:rFonts w:eastAsiaTheme="minorEastAsia" w:cstheme="minorHAnsi"/>
        </w:rPr>
        <w:t>s</w:t>
      </w:r>
      <w:r w:rsidR="009A51EE" w:rsidRPr="00BB23A7">
        <w:rPr>
          <w:rFonts w:eastAsiaTheme="minorEastAsia" w:cstheme="minorHAnsi"/>
        </w:rPr>
        <w:t xml:space="preserve"> to OC to keep the number of courses among students similar</w:t>
      </w:r>
      <w:r w:rsidR="009B4331" w:rsidRPr="00BB23A7">
        <w:rPr>
          <w:rFonts w:eastAsiaTheme="minorEastAsia" w:cstheme="minorHAnsi"/>
        </w:rPr>
        <w:t xml:space="preserve"> in order to</w:t>
      </w:r>
      <w:r w:rsidR="009A51EE" w:rsidRPr="00BB23A7">
        <w:rPr>
          <w:rFonts w:eastAsiaTheme="minorEastAsia" w:cstheme="minorHAnsi"/>
        </w:rPr>
        <w:t xml:space="preserve"> achieve similar results </w:t>
      </w:r>
      <w:r w:rsidR="009B4331" w:rsidRPr="00BB23A7">
        <w:rPr>
          <w:rFonts w:eastAsiaTheme="minorEastAsia" w:cstheme="minorHAnsi"/>
        </w:rPr>
        <w:t>as in the more realistic (major-field of study based) simulations.</w:t>
      </w:r>
    </w:p>
    <w:p w14:paraId="02774649" w14:textId="38368785" w:rsidR="009A51EE" w:rsidRPr="00BB23A7" w:rsidRDefault="009A51EE" w:rsidP="009A51EE">
      <w:pPr>
        <w:tabs>
          <w:tab w:val="left" w:pos="1440"/>
          <w:tab w:val="left" w:pos="5760"/>
        </w:tabs>
        <w:ind w:firstLine="360"/>
        <w:contextualSpacing/>
        <w:rPr>
          <w:rFonts w:eastAsiaTheme="minorEastAsia" w:cstheme="minorHAnsi"/>
        </w:rPr>
      </w:pPr>
      <w:r w:rsidRPr="00BB23A7">
        <w:rPr>
          <w:rFonts w:eastAsiaTheme="minorEastAsia" w:cstheme="minorHAnsi"/>
        </w:rPr>
        <w:t>However, we expect</w:t>
      </w:r>
      <w:r w:rsidR="009B4331" w:rsidRPr="00BB23A7">
        <w:rPr>
          <w:rFonts w:eastAsiaTheme="minorEastAsia" w:cstheme="minorHAnsi"/>
        </w:rPr>
        <w:t xml:space="preserve"> </w:t>
      </w:r>
      <w:r w:rsidRPr="00BB23A7">
        <w:rPr>
          <w:rFonts w:eastAsiaTheme="minorEastAsia" w:cstheme="minorHAnsi"/>
        </w:rPr>
        <w:t xml:space="preserve">not </w:t>
      </w:r>
      <w:r w:rsidR="009B4331" w:rsidRPr="00BB23A7">
        <w:rPr>
          <w:rFonts w:eastAsiaTheme="minorEastAsia" w:cstheme="minorHAnsi"/>
        </w:rPr>
        <w:t xml:space="preserve">to </w:t>
      </w:r>
      <w:r w:rsidRPr="00BB23A7">
        <w:rPr>
          <w:rFonts w:eastAsiaTheme="minorEastAsia" w:cstheme="minorHAnsi"/>
        </w:rPr>
        <w:t>face this issue in SP-O and TTC-O algorithms</w:t>
      </w:r>
      <w:r w:rsidR="009B4331" w:rsidRPr="00BB23A7">
        <w:rPr>
          <w:rFonts w:eastAsiaTheme="minorEastAsia" w:cstheme="minorHAnsi"/>
        </w:rPr>
        <w:t>, based on the round-by-round methods’ explicit goal of equity</w:t>
      </w:r>
      <w:r w:rsidRPr="00BB23A7">
        <w:rPr>
          <w:rFonts w:eastAsiaTheme="minorEastAsia" w:cstheme="minorHAnsi"/>
        </w:rPr>
        <w:t>. Our results confirm this expectation</w:t>
      </w:r>
      <w:r w:rsidR="00F44FCB" w:rsidRPr="00BB23A7">
        <w:rPr>
          <w:rFonts w:eastAsiaTheme="minorEastAsia" w:cstheme="minorHAnsi"/>
        </w:rPr>
        <w:t xml:space="preserve"> </w:t>
      </w:r>
      <w:r w:rsidR="00F44FCB" w:rsidRPr="00BB23A7">
        <w:rPr>
          <w:rFonts w:eastAsiaTheme="minorEastAsia"/>
        </w:rPr>
        <w:t>(see Figure D.2)</w:t>
      </w:r>
      <w:r w:rsidR="009B4331" w:rsidRPr="00BB23A7">
        <w:rPr>
          <w:rFonts w:eastAsiaTheme="minorEastAsia" w:cstheme="minorHAnsi"/>
        </w:rPr>
        <w:t>,</w:t>
      </w:r>
      <w:r w:rsidRPr="00BB23A7">
        <w:rPr>
          <w:rFonts w:eastAsiaTheme="minorEastAsia" w:cstheme="minorHAnsi"/>
        </w:rPr>
        <w:t xml:space="preserve"> and we see that when all preferences are </w:t>
      </w:r>
      <w:r w:rsidR="009B4331" w:rsidRPr="00BB23A7">
        <w:rPr>
          <w:rFonts w:eastAsiaTheme="minorEastAsia" w:cstheme="minorHAnsi"/>
        </w:rPr>
        <w:t>(nearly) identical</w:t>
      </w:r>
      <w:r w:rsidRPr="00BB23A7">
        <w:rPr>
          <w:rFonts w:eastAsiaTheme="minorEastAsia" w:cstheme="minorHAnsi"/>
        </w:rPr>
        <w:t xml:space="preserve"> SP-O can achieve the fairest results and can be considered as the most reliable algorithm in achieving fair solutions.</w:t>
      </w:r>
    </w:p>
    <w:p w14:paraId="34D01DFC" w14:textId="563763E3" w:rsidR="009A51EE" w:rsidRPr="00BB23A7" w:rsidRDefault="009A51EE" w:rsidP="009A51EE">
      <w:pPr>
        <w:tabs>
          <w:tab w:val="left" w:pos="1440"/>
          <w:tab w:val="left" w:pos="5760"/>
        </w:tabs>
        <w:ind w:firstLine="360"/>
        <w:contextualSpacing/>
        <w:jc w:val="center"/>
        <w:rPr>
          <w:rFonts w:eastAsiaTheme="minorEastAsia"/>
        </w:rPr>
      </w:pPr>
      <w:r w:rsidRPr="00BB23A7">
        <w:rPr>
          <w:rFonts w:eastAsiaTheme="minorEastAsia" w:cstheme="minorHAnsi"/>
        </w:rPr>
        <w:t xml:space="preserve">Figure </w:t>
      </w:r>
      <w:r w:rsidR="009B4331" w:rsidRPr="00BB23A7">
        <w:rPr>
          <w:rFonts w:eastAsiaTheme="minorEastAsia" w:cstheme="minorHAnsi"/>
        </w:rPr>
        <w:t>D.</w:t>
      </w:r>
      <w:r w:rsidRPr="00BB23A7">
        <w:rPr>
          <w:rFonts w:eastAsiaTheme="minorEastAsia" w:cstheme="minorHAnsi"/>
        </w:rPr>
        <w:t>2 - The average range of binary utility per algorithm</w:t>
      </w:r>
      <w:r w:rsidR="00C74E36" w:rsidRPr="00BB23A7">
        <w:rPr>
          <w:rFonts w:eastAsiaTheme="minorEastAsia" w:cstheme="minorHAnsi"/>
        </w:rPr>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p>
    <w:p w14:paraId="2F1B209F" w14:textId="48A07056" w:rsidR="009A51EE" w:rsidRPr="00BB23A7" w:rsidRDefault="004939C6" w:rsidP="009A51EE">
      <w:pPr>
        <w:ind w:firstLine="360"/>
        <w:jc w:val="center"/>
        <w:rPr>
          <w:rFonts w:eastAsiaTheme="minorEastAsia"/>
        </w:rPr>
      </w:pPr>
      <w:r w:rsidRPr="00BB23A7">
        <w:rPr>
          <w:noProof/>
        </w:rPr>
        <w:drawing>
          <wp:inline distT="0" distB="0" distL="0" distR="0" wp14:anchorId="4E025BFF" wp14:editId="1C6E56C7">
            <wp:extent cx="4495800" cy="1938867"/>
            <wp:effectExtent l="0" t="0" r="0" b="4445"/>
            <wp:docPr id="40" name="Chart 40">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EBF3699" w14:textId="2D4C83AB" w:rsidR="009A51EE" w:rsidRPr="00BB23A7" w:rsidRDefault="009B4331" w:rsidP="009A51EE">
      <w:pPr>
        <w:pStyle w:val="Heading2"/>
        <w:rPr>
          <w:rFonts w:eastAsiaTheme="minorEastAsia"/>
        </w:rPr>
      </w:pPr>
      <w:r w:rsidRPr="00BB23A7">
        <w:rPr>
          <w:rFonts w:eastAsiaTheme="minorEastAsia"/>
        </w:rPr>
        <w:t xml:space="preserve">D.3 </w:t>
      </w:r>
      <w:r w:rsidR="009A51EE" w:rsidRPr="00BB23A7">
        <w:rPr>
          <w:rFonts w:eastAsiaTheme="minorEastAsia"/>
        </w:rPr>
        <w:t>Ordinal and Cardinal Utility</w:t>
      </w:r>
    </w:p>
    <w:p w14:paraId="0A678267" w14:textId="55EA2BBC" w:rsidR="00C32D0B" w:rsidRPr="00BB23A7" w:rsidRDefault="009A51EE" w:rsidP="00C32D0B">
      <w:pPr>
        <w:ind w:firstLine="360"/>
        <w:rPr>
          <w:rFonts w:eastAsiaTheme="minorEastAsia"/>
        </w:rPr>
      </w:pPr>
      <w:r w:rsidRPr="00BB23A7">
        <w:rPr>
          <w:rFonts w:eastAsiaTheme="minorEastAsia"/>
        </w:rPr>
        <w:t xml:space="preserve">When </w:t>
      </w:r>
      <m:oMath>
        <m:r>
          <m:rPr>
            <m:sty m:val="p"/>
          </m:rPr>
          <w:rPr>
            <w:rFonts w:ascii="Cambria Math" w:eastAsiaTheme="minorEastAsia" w:hAnsi="Cambria Math"/>
          </w:rPr>
          <m:t>W</m:t>
        </m:r>
      </m:oMath>
      <w:r w:rsidRPr="00BB23A7">
        <w:rPr>
          <w:rFonts w:eastAsiaTheme="minorEastAsia"/>
        </w:rPr>
        <w:t xml:space="preserve"> is small and student preferences are mostly uncorrelated to each other, </w:t>
      </w:r>
      <w:r w:rsidR="00F44FCB" w:rsidRPr="00BB23A7">
        <w:rPr>
          <w:rFonts w:eastAsiaTheme="minorEastAsia"/>
        </w:rPr>
        <w:t xml:space="preserve">again we find </w:t>
      </w:r>
      <w:r w:rsidRPr="00BB23A7">
        <w:rPr>
          <w:rFonts w:eastAsiaTheme="minorEastAsia"/>
        </w:rPr>
        <w:t>all algorithms perform</w:t>
      </w:r>
      <w:r w:rsidR="00F44FCB" w:rsidRPr="00BB23A7">
        <w:rPr>
          <w:rFonts w:eastAsiaTheme="minorEastAsia"/>
        </w:rPr>
        <w:t>ing</w:t>
      </w:r>
      <w:r w:rsidRPr="00BB23A7">
        <w:rPr>
          <w:rFonts w:eastAsiaTheme="minorEastAsia"/>
        </w:rPr>
        <w:t xml:space="preserve"> </w:t>
      </w:r>
      <w:r w:rsidR="00F44FCB" w:rsidRPr="00BB23A7">
        <w:rPr>
          <w:rFonts w:eastAsiaTheme="minorEastAsia"/>
        </w:rPr>
        <w:t xml:space="preserve">similarly </w:t>
      </w:r>
      <w:r w:rsidRPr="00BB23A7">
        <w:rPr>
          <w:rFonts w:eastAsiaTheme="minorEastAsia"/>
        </w:rPr>
        <w:t xml:space="preserve">in average ordinal and cardinal utility per person with slightly better results for our proposed algorithms. </w:t>
      </w:r>
      <w:r w:rsidR="00F44FCB" w:rsidRPr="00BB23A7">
        <w:rPr>
          <w:rFonts w:eastAsiaTheme="minorEastAsia"/>
        </w:rPr>
        <w:t>As expected</w:t>
      </w:r>
      <w:r w:rsidR="00C32D0B" w:rsidRPr="00BB23A7">
        <w:rPr>
          <w:rFonts w:eastAsiaTheme="minorEastAsia"/>
        </w:rPr>
        <w:t>,</w:t>
      </w:r>
      <w:r w:rsidR="00F44FCB" w:rsidRPr="00BB23A7">
        <w:rPr>
          <w:rFonts w:eastAsiaTheme="minorEastAsia"/>
        </w:rPr>
        <w:t xml:space="preserve"> OC which first maximizes total market ordinal utility always performs best on the average ordinal performance. W</w:t>
      </w:r>
      <w:r w:rsidRPr="00BB23A7">
        <w:rPr>
          <w:rFonts w:eastAsiaTheme="minorEastAsia"/>
        </w:rPr>
        <w:t xml:space="preserve">hen </w:t>
      </w:r>
      <m:oMath>
        <m:r>
          <m:rPr>
            <m:sty m:val="p"/>
          </m:rPr>
          <w:rPr>
            <w:rFonts w:ascii="Cambria Math" w:eastAsiaTheme="minorEastAsia" w:hAnsi="Cambria Math"/>
          </w:rPr>
          <m:t xml:space="preserve">W </m:t>
        </m:r>
      </m:oMath>
      <w:r w:rsidRPr="00BB23A7">
        <w:rPr>
          <w:rFonts w:eastAsiaTheme="minorEastAsia"/>
        </w:rPr>
        <w:t xml:space="preserve">increases to 0.5, OC and then TTC-O and SP-O achieve the most efficient solutions based on ordinal and cardinal utility while BPM is the most inefficient algorithm based on these metrics. When </w:t>
      </w:r>
      <m:oMath>
        <m:r>
          <m:rPr>
            <m:sty m:val="p"/>
          </m:rPr>
          <w:rPr>
            <w:rFonts w:ascii="Cambria Math" w:eastAsiaTheme="minorEastAsia" w:hAnsi="Cambria Math"/>
          </w:rPr>
          <m:t>W</m:t>
        </m:r>
      </m:oMath>
      <w:r w:rsidRPr="00BB23A7">
        <w:rPr>
          <w:rFonts w:eastAsiaTheme="minorEastAsia"/>
        </w:rPr>
        <w:t xml:space="preserve"> becomes close to 1, all algorithms perform similarly based on average ordinal and cardinal utility</w:t>
      </w:r>
      <w:r w:rsidR="00C32D0B" w:rsidRPr="00BB23A7">
        <w:rPr>
          <w:rFonts w:eastAsiaTheme="minorEastAsia"/>
        </w:rPr>
        <w:t>, as seen in Figures D.3 and D.4</w:t>
      </w:r>
      <w:r w:rsidR="00F44FCB" w:rsidRPr="00BB23A7">
        <w:rPr>
          <w:rFonts w:eastAsiaTheme="minorEastAsia"/>
        </w:rPr>
        <w:t>.</w:t>
      </w:r>
    </w:p>
    <w:p w14:paraId="7FC8305A" w14:textId="144D7247" w:rsidR="009A51EE" w:rsidRPr="00BB23A7" w:rsidRDefault="009A51EE" w:rsidP="009A51EE">
      <w:pPr>
        <w:ind w:firstLine="360"/>
        <w:jc w:val="center"/>
        <w:rPr>
          <w:noProof/>
        </w:rPr>
      </w:pPr>
      <w:r w:rsidRPr="00BB23A7">
        <w:t xml:space="preserve">Figure </w:t>
      </w:r>
      <w:r w:rsidR="009B4331" w:rsidRPr="00BB23A7">
        <w:t>D.</w:t>
      </w:r>
      <w:r w:rsidRPr="00BB23A7">
        <w:t>3 - The average ordinal utility per student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r w:rsidRPr="00BB23A7">
        <w:rPr>
          <w:noProof/>
        </w:rPr>
        <w:t xml:space="preserve"> </w:t>
      </w:r>
    </w:p>
    <w:p w14:paraId="3DF3E15C" w14:textId="5D743347" w:rsidR="009A51EE" w:rsidRPr="00BB23A7" w:rsidRDefault="004939C6" w:rsidP="009A51EE">
      <w:pPr>
        <w:ind w:firstLine="360"/>
        <w:jc w:val="center"/>
        <w:rPr>
          <w:noProof/>
        </w:rPr>
      </w:pPr>
      <w:r w:rsidRPr="00BB23A7">
        <w:rPr>
          <w:noProof/>
        </w:rPr>
        <w:lastRenderedPageBreak/>
        <w:drawing>
          <wp:inline distT="0" distB="0" distL="0" distR="0" wp14:anchorId="4DE01424" wp14:editId="42F49DEB">
            <wp:extent cx="4106333" cy="1600200"/>
            <wp:effectExtent l="0" t="0" r="8890" b="0"/>
            <wp:docPr id="39" name="Chart 39">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0195938" w14:textId="00EC1A9A" w:rsidR="009A51EE" w:rsidRPr="00BB23A7" w:rsidRDefault="009A51EE" w:rsidP="009A51EE">
      <w:pPr>
        <w:ind w:firstLine="360"/>
        <w:jc w:val="center"/>
        <w:rPr>
          <w:noProof/>
        </w:rPr>
      </w:pPr>
      <w:r w:rsidRPr="00BB23A7">
        <w:t xml:space="preserve">Figure </w:t>
      </w:r>
      <w:r w:rsidR="009B4331" w:rsidRPr="00BB23A7">
        <w:t>D.</w:t>
      </w:r>
      <w:r w:rsidRPr="00BB23A7">
        <w:t>4 - The average cardinal utility per student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p>
    <w:p w14:paraId="7780882A" w14:textId="50B085C3" w:rsidR="009A51EE" w:rsidRPr="00BB23A7" w:rsidRDefault="004939C6" w:rsidP="009A51EE">
      <w:pPr>
        <w:ind w:firstLine="360"/>
        <w:jc w:val="center"/>
      </w:pPr>
      <w:r w:rsidRPr="00BB23A7">
        <w:rPr>
          <w:noProof/>
        </w:rPr>
        <w:drawing>
          <wp:inline distT="0" distB="0" distL="0" distR="0" wp14:anchorId="1F086FF8" wp14:editId="0E9B5CE8">
            <wp:extent cx="3933173" cy="1691013"/>
            <wp:effectExtent l="0" t="0" r="10795" b="4445"/>
            <wp:docPr id="34" name="Chart 34">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8F4B6C2" w14:textId="0776778F" w:rsidR="009A51EE" w:rsidRPr="00BB23A7" w:rsidRDefault="00F44FCB" w:rsidP="009A51EE">
      <w:pPr>
        <w:pStyle w:val="Heading2"/>
      </w:pPr>
      <w:r w:rsidRPr="00BB23A7">
        <w:t xml:space="preserve">D.4 </w:t>
      </w:r>
      <w:r w:rsidR="004924F9" w:rsidRPr="00BB23A7">
        <w:t>Range and Standard D</w:t>
      </w:r>
      <w:r w:rsidR="009A51EE" w:rsidRPr="00BB23A7">
        <w:t>eviation of Ordinal and Cardinal Utility</w:t>
      </w:r>
    </w:p>
    <w:p w14:paraId="15F76B95" w14:textId="55D7F07D" w:rsidR="00C32D0B" w:rsidRPr="00BB23A7" w:rsidRDefault="00C32D0B" w:rsidP="009A51EE">
      <w:pPr>
        <w:rPr>
          <w:rFonts w:eastAsiaTheme="minorEastAsia"/>
        </w:rPr>
      </w:pPr>
      <w:r w:rsidRPr="00BB23A7">
        <w:t>Our</w:t>
      </w:r>
      <w:r w:rsidR="004924F9" w:rsidRPr="00BB23A7">
        <w:t xml:space="preserve"> final set of results are shown in Figure D.5 through D.8, concerning the range and standard deviation as fairness metrics on utility. Where OC again dominates at the intermediate point in </w:t>
      </w:r>
      <w:proofErr w:type="gramStart"/>
      <w:r w:rsidR="004924F9" w:rsidRPr="00BB23A7">
        <w:t xml:space="preserve">which </w:t>
      </w:r>
      <w:proofErr w:type="gramEnd"/>
      <m:oMath>
        <m:r>
          <m:rPr>
            <m:sty m:val="p"/>
          </m:rPr>
          <w:rPr>
            <w:rFonts w:ascii="Cambria Math" w:hAnsi="Cambria Math"/>
          </w:rPr>
          <m:t>W=0.5</m:t>
        </m:r>
      </m:oMath>
      <w:r w:rsidR="004924F9" w:rsidRPr="00BB23A7">
        <w:rPr>
          <w:rFonts w:eastAsiaTheme="minorEastAsia"/>
        </w:rPr>
        <w:t>, consist</w:t>
      </w:r>
      <w:proofErr w:type="spellStart"/>
      <w:r w:rsidR="004924F9" w:rsidRPr="00BB23A7">
        <w:rPr>
          <w:rFonts w:eastAsiaTheme="minorEastAsia"/>
        </w:rPr>
        <w:t>ent</w:t>
      </w:r>
      <w:proofErr w:type="spellEnd"/>
      <w:r w:rsidR="004924F9" w:rsidRPr="00BB23A7">
        <w:rPr>
          <w:rFonts w:eastAsiaTheme="minorEastAsia"/>
        </w:rPr>
        <w:t xml:space="preserve"> with the main results of the paper, these fairness results tend to vanish as the correlation grows. In its focus on achieving good ordinal and cardinal market performance, OC will randomly favor some students; with (nearly) identical students some must win and some must </w:t>
      </w:r>
      <w:r w:rsidR="00A32AC3" w:rsidRPr="00BB23A7">
        <w:rPr>
          <w:rFonts w:eastAsiaTheme="minorEastAsia"/>
        </w:rPr>
        <w:t>receive very poor (even empty) schedules</w:t>
      </w:r>
      <w:r w:rsidR="004924F9" w:rsidRPr="00BB23A7">
        <w:rPr>
          <w:rFonts w:eastAsiaTheme="minorEastAsia"/>
        </w:rPr>
        <w:t xml:space="preserve"> in the best overall outcome. Still TTC-O and SP-O show that with only mildly worse overall performance, these ranges and standard deviations can be kept lower. These latter mechanisms are therefore seen to be more robust to extreme correlation with respect to fairness, converging toward a pure rationing outcome as students get closer to identical preferences.</w:t>
      </w:r>
    </w:p>
    <w:p w14:paraId="3D9AA595" w14:textId="0823A847" w:rsidR="009A51EE" w:rsidRPr="00BB23A7" w:rsidRDefault="009A51EE" w:rsidP="009A51EE">
      <w:pPr>
        <w:jc w:val="center"/>
      </w:pPr>
      <w:r w:rsidRPr="00BB23A7">
        <w:rPr>
          <w:rFonts w:eastAsiaTheme="minorEastAsia" w:cstheme="minorHAnsi"/>
        </w:rPr>
        <w:t xml:space="preserve">Figure </w:t>
      </w:r>
      <w:r w:rsidR="00F44FCB" w:rsidRPr="00BB23A7">
        <w:rPr>
          <w:rFonts w:eastAsiaTheme="minorEastAsia" w:cstheme="minorHAnsi"/>
        </w:rPr>
        <w:t>D.</w:t>
      </w:r>
      <w:r w:rsidRPr="00BB23A7">
        <w:rPr>
          <w:rFonts w:eastAsiaTheme="minorEastAsia" w:cstheme="minorHAnsi"/>
        </w:rPr>
        <w:t>5 – The average range of ordinal utility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p>
    <w:p w14:paraId="70CF1FDD" w14:textId="795830A7" w:rsidR="009A51EE" w:rsidRPr="00BB23A7" w:rsidRDefault="004939C6" w:rsidP="009A51EE">
      <w:pPr>
        <w:jc w:val="center"/>
      </w:pPr>
      <w:r w:rsidRPr="00BB23A7">
        <w:rPr>
          <w:noProof/>
        </w:rPr>
        <w:drawing>
          <wp:inline distT="0" distB="0" distL="0" distR="0" wp14:anchorId="474F6D81" wp14:editId="233697AE">
            <wp:extent cx="3945467" cy="1718733"/>
            <wp:effectExtent l="0" t="0" r="17145" b="15240"/>
            <wp:docPr id="32" name="Chart 32">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5066036" w14:textId="4CA583C3" w:rsidR="009A51EE" w:rsidRPr="00BB23A7" w:rsidRDefault="009A51EE" w:rsidP="009A51EE">
      <w:pPr>
        <w:jc w:val="center"/>
      </w:pPr>
      <w:r w:rsidRPr="00BB23A7">
        <w:rPr>
          <w:rFonts w:eastAsiaTheme="minorEastAsia" w:cstheme="minorHAnsi"/>
        </w:rPr>
        <w:lastRenderedPageBreak/>
        <w:t xml:space="preserve">Figure </w:t>
      </w:r>
      <w:r w:rsidR="00C74E36" w:rsidRPr="00BB23A7">
        <w:rPr>
          <w:rFonts w:eastAsiaTheme="minorEastAsia" w:cstheme="minorHAnsi"/>
        </w:rPr>
        <w:t>D.</w:t>
      </w:r>
      <w:r w:rsidRPr="00BB23A7">
        <w:rPr>
          <w:rFonts w:eastAsiaTheme="minorEastAsia" w:cstheme="minorHAnsi"/>
        </w:rPr>
        <w:t>6 – The average range of cardinal utility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p>
    <w:p w14:paraId="70A5EC6E" w14:textId="4AC93B41" w:rsidR="009A51EE" w:rsidRPr="00BB23A7" w:rsidRDefault="004939C6" w:rsidP="009A51EE">
      <w:pPr>
        <w:jc w:val="center"/>
      </w:pPr>
      <w:r w:rsidRPr="00BB23A7">
        <w:rPr>
          <w:noProof/>
        </w:rPr>
        <w:drawing>
          <wp:inline distT="0" distB="0" distL="0" distR="0" wp14:anchorId="24F30375" wp14:editId="618FB2C7">
            <wp:extent cx="4166053" cy="1988910"/>
            <wp:effectExtent l="0" t="0" r="6350" b="11430"/>
            <wp:docPr id="31" name="Chart 31">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0000000-0008-0000-01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86C189F" w14:textId="34DFF8D1" w:rsidR="009A51EE" w:rsidRPr="00BB23A7" w:rsidRDefault="009A51EE" w:rsidP="009A51EE">
      <w:pPr>
        <w:jc w:val="center"/>
      </w:pPr>
      <w:r w:rsidRPr="00BB23A7">
        <w:t xml:space="preserve">Figure </w:t>
      </w:r>
      <w:r w:rsidR="00C74E36" w:rsidRPr="00BB23A7">
        <w:t>D.</w:t>
      </w:r>
      <w:r w:rsidRPr="00BB23A7">
        <w:t>7- The standard deviation of ordinal utility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p>
    <w:p w14:paraId="55F94B86" w14:textId="0D51E644" w:rsidR="009A51EE" w:rsidRPr="00BB23A7" w:rsidRDefault="004939C6" w:rsidP="009A51EE">
      <w:pPr>
        <w:jc w:val="center"/>
      </w:pPr>
      <w:r w:rsidRPr="00BB23A7">
        <w:rPr>
          <w:noProof/>
        </w:rPr>
        <w:drawing>
          <wp:inline distT="0" distB="0" distL="0" distR="0" wp14:anchorId="19FB7ACC" wp14:editId="288DC7C4">
            <wp:extent cx="4250764" cy="1757936"/>
            <wp:effectExtent l="0" t="0" r="16510" b="13970"/>
            <wp:docPr id="27" name="Chart 27">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FE0E42B-9B8C-4191-BBAB-43BF92A65B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70C2AF4" w14:textId="4292F541" w:rsidR="004939C6" w:rsidRPr="00BB23A7" w:rsidRDefault="009A51EE" w:rsidP="00F75BE7">
      <w:pPr>
        <w:jc w:val="center"/>
        <w:rPr>
          <w:noProof/>
        </w:rPr>
      </w:pPr>
      <w:r w:rsidRPr="00BB23A7">
        <w:t xml:space="preserve">Figure </w:t>
      </w:r>
      <w:r w:rsidR="00C74E36" w:rsidRPr="00BB23A7">
        <w:t>D.</w:t>
      </w:r>
      <w:r w:rsidRPr="00BB23A7">
        <w:t>8- The standard deviation of cardinal utility per algorithm</w:t>
      </w:r>
      <w:r w:rsidR="00C74E36" w:rsidRPr="00BB23A7">
        <w:t xml:space="preserve"> </w:t>
      </w:r>
      <w:proofErr w:type="gramStart"/>
      <w:r w:rsidR="00C74E36" w:rsidRPr="00BB23A7">
        <w:t xml:space="preserve">for </w:t>
      </w:r>
      <w:proofErr w:type="gramEnd"/>
      <m:oMath>
        <m:r>
          <m:rPr>
            <m:sty m:val="p"/>
          </m:rPr>
          <w:rPr>
            <w:rFonts w:ascii="Cambria Math" w:hAnsi="Cambria Math"/>
          </w:rPr>
          <m:t>0≤W≤1</m:t>
        </m:r>
      </m:oMath>
      <w:r w:rsidR="00C74E36" w:rsidRPr="00BB23A7">
        <w:rPr>
          <w:rFonts w:eastAsiaTheme="minorEastAsia"/>
        </w:rPr>
        <w:t>.</w:t>
      </w:r>
      <w:r w:rsidR="00C74E36" w:rsidRPr="00BB23A7">
        <w:rPr>
          <w:noProof/>
        </w:rPr>
        <w:t xml:space="preserve"> </w:t>
      </w:r>
    </w:p>
    <w:p w14:paraId="6C7161F3" w14:textId="71A95673" w:rsidR="009A51EE" w:rsidRPr="00BB23A7" w:rsidRDefault="004939C6" w:rsidP="00F75BE7">
      <w:pPr>
        <w:jc w:val="center"/>
        <w:rPr>
          <w:rFonts w:eastAsiaTheme="minorEastAsia"/>
          <w:lang w:bidi="fa-IR"/>
        </w:rPr>
      </w:pPr>
      <w:r w:rsidRPr="00BB23A7">
        <w:rPr>
          <w:noProof/>
        </w:rPr>
        <w:drawing>
          <wp:inline distT="0" distB="0" distL="0" distR="0" wp14:anchorId="0D621D53" wp14:editId="07CD6EAD">
            <wp:extent cx="3687418" cy="2102126"/>
            <wp:effectExtent l="0" t="0" r="8890" b="12700"/>
            <wp:docPr id="26" name="Chart 26">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12B4B69-8F8E-41D3-BB07-5E9D146EDB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bookmarkStart w:id="6" w:name="_GoBack"/>
      <w:bookmarkEnd w:id="6"/>
    </w:p>
    <w:sectPr w:rsidR="009A51EE" w:rsidRPr="00BB23A7" w:rsidSect="003473FA">
      <w:headerReference w:type="default" r:id="rId38"/>
      <w:footerReference w:type="default" r:id="rId3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02BFBA" w14:textId="77777777" w:rsidR="001E01A4" w:rsidRDefault="001E01A4" w:rsidP="00190979">
      <w:pPr>
        <w:spacing w:after="0" w:line="240" w:lineRule="auto"/>
      </w:pPr>
      <w:r>
        <w:separator/>
      </w:r>
    </w:p>
  </w:endnote>
  <w:endnote w:type="continuationSeparator" w:id="0">
    <w:p w14:paraId="747A2EF3" w14:textId="77777777" w:rsidR="001E01A4" w:rsidRDefault="001E01A4" w:rsidP="001909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9342370"/>
      <w:docPartObj>
        <w:docPartGallery w:val="Page Numbers (Bottom of Page)"/>
        <w:docPartUnique/>
      </w:docPartObj>
    </w:sdtPr>
    <w:sdtEndPr>
      <w:rPr>
        <w:noProof/>
      </w:rPr>
    </w:sdtEndPr>
    <w:sdtContent>
      <w:p w14:paraId="11103CED" w14:textId="022FC824" w:rsidR="004939C6" w:rsidRDefault="004939C6">
        <w:pPr>
          <w:pStyle w:val="Footer"/>
          <w:jc w:val="center"/>
        </w:pPr>
        <w:r>
          <w:fldChar w:fldCharType="begin"/>
        </w:r>
        <w:r>
          <w:instrText xml:space="preserve"> PAGE   \* MERGEFORMAT </w:instrText>
        </w:r>
        <w:r>
          <w:fldChar w:fldCharType="separate"/>
        </w:r>
        <w:r w:rsidR="00BB23A7">
          <w:rPr>
            <w:noProof/>
          </w:rPr>
          <w:t>13</w:t>
        </w:r>
        <w:r>
          <w:rPr>
            <w:noProof/>
          </w:rPr>
          <w:fldChar w:fldCharType="end"/>
        </w:r>
      </w:p>
    </w:sdtContent>
  </w:sdt>
  <w:p w14:paraId="2B76966C" w14:textId="77777777" w:rsidR="004939C6" w:rsidRDefault="004939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08CC03" w14:textId="77777777" w:rsidR="001E01A4" w:rsidRDefault="001E01A4" w:rsidP="00190979">
      <w:pPr>
        <w:spacing w:after="0" w:line="240" w:lineRule="auto"/>
      </w:pPr>
      <w:r>
        <w:separator/>
      </w:r>
    </w:p>
  </w:footnote>
  <w:footnote w:type="continuationSeparator" w:id="0">
    <w:p w14:paraId="40CC126C" w14:textId="77777777" w:rsidR="001E01A4" w:rsidRDefault="001E01A4" w:rsidP="001909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6DB2B6" w14:textId="1BCC6474" w:rsidR="004939C6" w:rsidRDefault="004939C6" w:rsidP="00024713">
    <w:pPr>
      <w:pStyle w:val="Header"/>
      <w:tabs>
        <w:tab w:val="clear" w:pos="4680"/>
        <w:tab w:val="clear" w:pos="9360"/>
        <w:tab w:val="left" w:pos="1644"/>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7F774F"/>
    <w:multiLevelType w:val="multilevel"/>
    <w:tmpl w:val="0409001F"/>
    <w:lvl w:ilvl="0">
      <w:start w:val="1"/>
      <w:numFmt w:val="decimal"/>
      <w:lvlText w:val="%1."/>
      <w:lvlJc w:val="left"/>
      <w:pPr>
        <w:ind w:left="360" w:hanging="360"/>
      </w:pPr>
      <w:rPr>
        <w:color w:val="548DD4" w:themeColor="text2" w:themeTint="99"/>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457CDD"/>
    <w:multiLevelType w:val="hybridMultilevel"/>
    <w:tmpl w:val="09F2CACC"/>
    <w:lvl w:ilvl="0" w:tplc="955EAF6A">
      <w:start w:val="1"/>
      <w:numFmt w:val="decimal"/>
      <w:lvlText w:val="%1-"/>
      <w:lvlJc w:val="left"/>
      <w:pPr>
        <w:ind w:left="1800" w:hanging="360"/>
      </w:pPr>
      <w:rPr>
        <w:rFonts w:eastAsiaTheme="minorHAnsi" w:hint="default"/>
      </w:rPr>
    </w:lvl>
    <w:lvl w:ilvl="1" w:tplc="04090019">
      <w:start w:val="1"/>
      <w:numFmt w:val="lowerLetter"/>
      <w:lvlText w:val="%2."/>
      <w:lvlJc w:val="left"/>
      <w:pPr>
        <w:ind w:left="189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FE869A4"/>
    <w:multiLevelType w:val="hybridMultilevel"/>
    <w:tmpl w:val="97B8122E"/>
    <w:lvl w:ilvl="0" w:tplc="0409001B">
      <w:start w:val="1"/>
      <w:numFmt w:val="lowerRoman"/>
      <w:lvlText w:val="%1."/>
      <w:lvlJc w:val="righ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3" w15:restartNumberingAfterBreak="0">
    <w:nsid w:val="14217B51"/>
    <w:multiLevelType w:val="hybridMultilevel"/>
    <w:tmpl w:val="7044476E"/>
    <w:lvl w:ilvl="0" w:tplc="30A0BBB6">
      <w:start w:val="1"/>
      <w:numFmt w:val="upperRoman"/>
      <w:lvlText w:val="%1."/>
      <w:lvlJc w:val="right"/>
      <w:pPr>
        <w:ind w:left="1440" w:hanging="360"/>
      </w:pPr>
      <w:rPr>
        <w:color w:val="548DD4" w:themeColor="text2" w:themeTint="99"/>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302940"/>
    <w:multiLevelType w:val="hybridMultilevel"/>
    <w:tmpl w:val="6A9A09B6"/>
    <w:lvl w:ilvl="0" w:tplc="955EAF6A">
      <w:start w:val="1"/>
      <w:numFmt w:val="decimal"/>
      <w:lvlText w:val="%1-"/>
      <w:lvlJc w:val="left"/>
      <w:pPr>
        <w:ind w:left="1800" w:hanging="360"/>
      </w:pPr>
      <w:rPr>
        <w:rFonts w:eastAsiaTheme="minorHAnsi" w:hint="default"/>
      </w:rPr>
    </w:lvl>
    <w:lvl w:ilvl="1" w:tplc="04090013">
      <w:start w:val="1"/>
      <w:numFmt w:val="upperRoman"/>
      <w:lvlText w:val="%2."/>
      <w:lvlJc w:val="right"/>
      <w:pPr>
        <w:ind w:left="189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45C3CF8"/>
    <w:multiLevelType w:val="hybridMultilevel"/>
    <w:tmpl w:val="C110F6CE"/>
    <w:lvl w:ilvl="0" w:tplc="7F3697AA">
      <w:start w:val="1"/>
      <w:numFmt w:val="low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 w15:restartNumberingAfterBreak="0">
    <w:nsid w:val="1C7A3887"/>
    <w:multiLevelType w:val="hybridMultilevel"/>
    <w:tmpl w:val="97B8122E"/>
    <w:lvl w:ilvl="0" w:tplc="0409001B">
      <w:start w:val="1"/>
      <w:numFmt w:val="lowerRoman"/>
      <w:lvlText w:val="%1."/>
      <w:lvlJc w:val="righ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7" w15:restartNumberingAfterBreak="0">
    <w:nsid w:val="1D17349C"/>
    <w:multiLevelType w:val="hybridMultilevel"/>
    <w:tmpl w:val="6C268632"/>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244805"/>
    <w:multiLevelType w:val="hybridMultilevel"/>
    <w:tmpl w:val="473C30C8"/>
    <w:lvl w:ilvl="0" w:tplc="2B48CB78">
      <w:start w:val="2"/>
      <w:numFmt w:val="upperRoman"/>
      <w:lvlText w:val="%1."/>
      <w:lvlJc w:val="right"/>
      <w:pPr>
        <w:ind w:left="180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15:restartNumberingAfterBreak="0">
    <w:nsid w:val="24783943"/>
    <w:multiLevelType w:val="hybridMultilevel"/>
    <w:tmpl w:val="DFB013A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4B32E01"/>
    <w:multiLevelType w:val="hybridMultilevel"/>
    <w:tmpl w:val="22EAAFA4"/>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1" w15:restartNumberingAfterBreak="0">
    <w:nsid w:val="258A6A82"/>
    <w:multiLevelType w:val="hybridMultilevel"/>
    <w:tmpl w:val="72DE172C"/>
    <w:lvl w:ilvl="0" w:tplc="45A67A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F12B42"/>
    <w:multiLevelType w:val="hybridMultilevel"/>
    <w:tmpl w:val="72882994"/>
    <w:lvl w:ilvl="0" w:tplc="0409001B">
      <w:start w:val="1"/>
      <w:numFmt w:val="lowerRoman"/>
      <w:lvlText w:val="%1."/>
      <w:lvlJc w:val="right"/>
      <w:pPr>
        <w:ind w:left="3690" w:hanging="360"/>
      </w:pPr>
    </w:lvl>
    <w:lvl w:ilvl="1" w:tplc="04090019" w:tentative="1">
      <w:start w:val="1"/>
      <w:numFmt w:val="lowerLetter"/>
      <w:lvlText w:val="%2."/>
      <w:lvlJc w:val="left"/>
      <w:pPr>
        <w:ind w:left="4410" w:hanging="360"/>
      </w:pPr>
    </w:lvl>
    <w:lvl w:ilvl="2" w:tplc="0409001B" w:tentative="1">
      <w:start w:val="1"/>
      <w:numFmt w:val="lowerRoman"/>
      <w:lvlText w:val="%3."/>
      <w:lvlJc w:val="right"/>
      <w:pPr>
        <w:ind w:left="5130" w:hanging="180"/>
      </w:pPr>
    </w:lvl>
    <w:lvl w:ilvl="3" w:tplc="0409000F" w:tentative="1">
      <w:start w:val="1"/>
      <w:numFmt w:val="decimal"/>
      <w:lvlText w:val="%4."/>
      <w:lvlJc w:val="left"/>
      <w:pPr>
        <w:ind w:left="5850" w:hanging="360"/>
      </w:pPr>
    </w:lvl>
    <w:lvl w:ilvl="4" w:tplc="04090019" w:tentative="1">
      <w:start w:val="1"/>
      <w:numFmt w:val="lowerLetter"/>
      <w:lvlText w:val="%5."/>
      <w:lvlJc w:val="left"/>
      <w:pPr>
        <w:ind w:left="6570" w:hanging="360"/>
      </w:pPr>
    </w:lvl>
    <w:lvl w:ilvl="5" w:tplc="0409001B" w:tentative="1">
      <w:start w:val="1"/>
      <w:numFmt w:val="lowerRoman"/>
      <w:lvlText w:val="%6."/>
      <w:lvlJc w:val="right"/>
      <w:pPr>
        <w:ind w:left="7290" w:hanging="180"/>
      </w:pPr>
    </w:lvl>
    <w:lvl w:ilvl="6" w:tplc="0409000F" w:tentative="1">
      <w:start w:val="1"/>
      <w:numFmt w:val="decimal"/>
      <w:lvlText w:val="%7."/>
      <w:lvlJc w:val="left"/>
      <w:pPr>
        <w:ind w:left="8010" w:hanging="360"/>
      </w:pPr>
    </w:lvl>
    <w:lvl w:ilvl="7" w:tplc="04090019" w:tentative="1">
      <w:start w:val="1"/>
      <w:numFmt w:val="lowerLetter"/>
      <w:lvlText w:val="%8."/>
      <w:lvlJc w:val="left"/>
      <w:pPr>
        <w:ind w:left="8730" w:hanging="360"/>
      </w:pPr>
    </w:lvl>
    <w:lvl w:ilvl="8" w:tplc="0409001B" w:tentative="1">
      <w:start w:val="1"/>
      <w:numFmt w:val="lowerRoman"/>
      <w:lvlText w:val="%9."/>
      <w:lvlJc w:val="right"/>
      <w:pPr>
        <w:ind w:left="9450" w:hanging="180"/>
      </w:pPr>
    </w:lvl>
  </w:abstractNum>
  <w:abstractNum w:abstractNumId="13" w15:restartNumberingAfterBreak="0">
    <w:nsid w:val="2A6C27BE"/>
    <w:multiLevelType w:val="hybridMultilevel"/>
    <w:tmpl w:val="AB742CB0"/>
    <w:lvl w:ilvl="0" w:tplc="30A0BBB6">
      <w:start w:val="1"/>
      <w:numFmt w:val="upperRoman"/>
      <w:lvlText w:val="%1."/>
      <w:lvlJc w:val="right"/>
      <w:pPr>
        <w:ind w:left="1440" w:hanging="360"/>
      </w:pPr>
      <w:rPr>
        <w:color w:val="548DD4" w:themeColor="text2" w:themeTint="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03562E"/>
    <w:multiLevelType w:val="hybridMultilevel"/>
    <w:tmpl w:val="BBB8125E"/>
    <w:lvl w:ilvl="0" w:tplc="30A0BBB6">
      <w:start w:val="1"/>
      <w:numFmt w:val="upperRoman"/>
      <w:lvlText w:val="%1."/>
      <w:lvlJc w:val="right"/>
      <w:pPr>
        <w:ind w:left="1440" w:hanging="360"/>
      </w:pPr>
      <w:rPr>
        <w:color w:val="548DD4" w:themeColor="text2" w:themeTint="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673FCD"/>
    <w:multiLevelType w:val="hybridMultilevel"/>
    <w:tmpl w:val="420E8366"/>
    <w:lvl w:ilvl="0" w:tplc="FFD660E2">
      <w:start w:val="1"/>
      <w:numFmt w:val="decimal"/>
      <w:lvlText w:val="%1-"/>
      <w:lvlJc w:val="left"/>
      <w:pPr>
        <w:ind w:left="1080" w:hanging="360"/>
      </w:pPr>
      <w:rPr>
        <w:rFonts w:hint="default"/>
      </w:rPr>
    </w:lvl>
    <w:lvl w:ilvl="1" w:tplc="04090013">
      <w:start w:val="1"/>
      <w:numFmt w:val="upperRoman"/>
      <w:lvlText w:val="%2."/>
      <w:lvlJc w:val="right"/>
      <w:pPr>
        <w:ind w:left="153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78F34F4"/>
    <w:multiLevelType w:val="hybridMultilevel"/>
    <w:tmpl w:val="AC4A3CE8"/>
    <w:lvl w:ilvl="0" w:tplc="EAF2C97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BF13FF"/>
    <w:multiLevelType w:val="hybridMultilevel"/>
    <w:tmpl w:val="AF4EB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FE1B33"/>
    <w:multiLevelType w:val="hybridMultilevel"/>
    <w:tmpl w:val="CFC8E02E"/>
    <w:lvl w:ilvl="0" w:tplc="45A67AA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E1F6E4F"/>
    <w:multiLevelType w:val="multilevel"/>
    <w:tmpl w:val="3AC86962"/>
    <w:lvl w:ilvl="0">
      <w:start w:val="1"/>
      <w:numFmt w:val="decimal"/>
      <w:lvlText w:val="%1."/>
      <w:lvlJc w:val="left"/>
      <w:pPr>
        <w:ind w:left="360" w:hanging="360"/>
      </w:pPr>
    </w:lvl>
    <w:lvl w:ilvl="1">
      <w:start w:val="1"/>
      <w:numFmt w:val="decimal"/>
      <w:lvlText w:val="%1.%2."/>
      <w:lvlJc w:val="left"/>
      <w:pPr>
        <w:ind w:left="792" w:hanging="432"/>
      </w:pPr>
      <w:rPr>
        <w:b w:val="0"/>
        <w:bCs w:val="0"/>
        <w:i/>
        <w:iCs/>
        <w:color w:val="548DD4" w:themeColor="text2" w:themeTint="99"/>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7125EC"/>
    <w:multiLevelType w:val="hybridMultilevel"/>
    <w:tmpl w:val="AB742CB0"/>
    <w:lvl w:ilvl="0" w:tplc="30A0BBB6">
      <w:start w:val="1"/>
      <w:numFmt w:val="upperRoman"/>
      <w:lvlText w:val="%1."/>
      <w:lvlJc w:val="right"/>
      <w:pPr>
        <w:ind w:left="1440" w:hanging="360"/>
      </w:pPr>
      <w:rPr>
        <w:color w:val="548DD4" w:themeColor="text2" w:themeTint="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7E18FE"/>
    <w:multiLevelType w:val="multilevel"/>
    <w:tmpl w:val="82C2EF6A"/>
    <w:lvl w:ilvl="0">
      <w:start w:val="1"/>
      <w:numFmt w:val="decimal"/>
      <w:lvlText w:val="%1."/>
      <w:lvlJc w:val="left"/>
      <w:pPr>
        <w:ind w:left="360" w:hanging="360"/>
      </w:pPr>
    </w:lvl>
    <w:lvl w:ilvl="1">
      <w:start w:val="1"/>
      <w:numFmt w:val="decimal"/>
      <w:lvlText w:val="%1.%2."/>
      <w:lvlJc w:val="left"/>
      <w:pPr>
        <w:ind w:left="432" w:hanging="432"/>
      </w:pPr>
      <w:rPr>
        <w:b w:val="0"/>
        <w:bCs w:val="0"/>
        <w:i w:val="0"/>
        <w:iCs/>
        <w:color w:val="548DD4" w:themeColor="text2" w:themeTint="99"/>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FD63F7A"/>
    <w:multiLevelType w:val="hybridMultilevel"/>
    <w:tmpl w:val="D2AA8518"/>
    <w:lvl w:ilvl="0" w:tplc="04090013">
      <w:start w:val="1"/>
      <w:numFmt w:val="upp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41214AF2"/>
    <w:multiLevelType w:val="hybridMultilevel"/>
    <w:tmpl w:val="F74E361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6F27C79"/>
    <w:multiLevelType w:val="hybridMultilevel"/>
    <w:tmpl w:val="DF7296B2"/>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5" w15:restartNumberingAfterBreak="0">
    <w:nsid w:val="4C3C581C"/>
    <w:multiLevelType w:val="hybridMultilevel"/>
    <w:tmpl w:val="C9CC109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5663FB"/>
    <w:multiLevelType w:val="hybridMultilevel"/>
    <w:tmpl w:val="C110F6CE"/>
    <w:lvl w:ilvl="0" w:tplc="7F3697AA">
      <w:start w:val="1"/>
      <w:numFmt w:val="lowerRoman"/>
      <w:lvlText w:val="%1."/>
      <w:lvlJc w:val="left"/>
      <w:pPr>
        <w:ind w:left="1710" w:hanging="72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7" w15:restartNumberingAfterBreak="0">
    <w:nsid w:val="5972386E"/>
    <w:multiLevelType w:val="hybridMultilevel"/>
    <w:tmpl w:val="4546FC78"/>
    <w:lvl w:ilvl="0" w:tplc="04090013">
      <w:start w:val="1"/>
      <w:numFmt w:val="upp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59A84490"/>
    <w:multiLevelType w:val="hybridMultilevel"/>
    <w:tmpl w:val="08CA92D2"/>
    <w:lvl w:ilvl="0" w:tplc="04090013">
      <w:start w:val="1"/>
      <w:numFmt w:val="upperRoman"/>
      <w:lvlText w:val="%1."/>
      <w:lvlJc w:val="right"/>
      <w:pPr>
        <w:ind w:left="18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3A59DA"/>
    <w:multiLevelType w:val="multilevel"/>
    <w:tmpl w:val="3AC86962"/>
    <w:lvl w:ilvl="0">
      <w:start w:val="1"/>
      <w:numFmt w:val="decimal"/>
      <w:lvlText w:val="%1."/>
      <w:lvlJc w:val="left"/>
      <w:pPr>
        <w:ind w:left="360" w:hanging="360"/>
      </w:pPr>
    </w:lvl>
    <w:lvl w:ilvl="1">
      <w:start w:val="1"/>
      <w:numFmt w:val="decimal"/>
      <w:lvlText w:val="%1.%2."/>
      <w:lvlJc w:val="left"/>
      <w:pPr>
        <w:ind w:left="792" w:hanging="432"/>
      </w:pPr>
      <w:rPr>
        <w:b w:val="0"/>
        <w:bCs w:val="0"/>
        <w:i/>
        <w:iCs/>
        <w:color w:val="548DD4" w:themeColor="text2" w:themeTint="99"/>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DFB2743"/>
    <w:multiLevelType w:val="hybridMultilevel"/>
    <w:tmpl w:val="F3AA6E7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690AE2"/>
    <w:multiLevelType w:val="multilevel"/>
    <w:tmpl w:val="3AC86962"/>
    <w:lvl w:ilvl="0">
      <w:start w:val="1"/>
      <w:numFmt w:val="decimal"/>
      <w:lvlText w:val="%1."/>
      <w:lvlJc w:val="left"/>
      <w:pPr>
        <w:ind w:left="360" w:hanging="360"/>
      </w:pPr>
    </w:lvl>
    <w:lvl w:ilvl="1">
      <w:start w:val="1"/>
      <w:numFmt w:val="decimal"/>
      <w:lvlText w:val="%1.%2."/>
      <w:lvlJc w:val="left"/>
      <w:pPr>
        <w:ind w:left="792" w:hanging="432"/>
      </w:pPr>
      <w:rPr>
        <w:b w:val="0"/>
        <w:bCs w:val="0"/>
        <w:i/>
        <w:iCs/>
        <w:color w:val="548DD4" w:themeColor="text2" w:themeTint="99"/>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06678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5D61059"/>
    <w:multiLevelType w:val="hybridMultilevel"/>
    <w:tmpl w:val="AB742CB0"/>
    <w:lvl w:ilvl="0" w:tplc="30A0BBB6">
      <w:start w:val="1"/>
      <w:numFmt w:val="upperRoman"/>
      <w:lvlText w:val="%1."/>
      <w:lvlJc w:val="right"/>
      <w:pPr>
        <w:ind w:left="1440" w:hanging="360"/>
      </w:pPr>
      <w:rPr>
        <w:color w:val="548DD4" w:themeColor="text2" w:themeTint="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7A2DAF"/>
    <w:multiLevelType w:val="hybridMultilevel"/>
    <w:tmpl w:val="88BAB510"/>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5" w15:restartNumberingAfterBreak="0">
    <w:nsid w:val="69291275"/>
    <w:multiLevelType w:val="hybridMultilevel"/>
    <w:tmpl w:val="A266D10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24E7380"/>
    <w:multiLevelType w:val="hybridMultilevel"/>
    <w:tmpl w:val="6F8024C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7A3F1557"/>
    <w:multiLevelType w:val="hybridMultilevel"/>
    <w:tmpl w:val="B12A2BF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7D754F42"/>
    <w:multiLevelType w:val="hybridMultilevel"/>
    <w:tmpl w:val="2FD2FB8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DEB707F"/>
    <w:multiLevelType w:val="hybridMultilevel"/>
    <w:tmpl w:val="80BC2F00"/>
    <w:lvl w:ilvl="0" w:tplc="0409000F">
      <w:start w:val="1"/>
      <w:numFmt w:val="decimal"/>
      <w:lvlText w:val="%1."/>
      <w:lvlJc w:val="left"/>
      <w:pPr>
        <w:ind w:left="720" w:hanging="360"/>
      </w:pPr>
    </w:lvl>
    <w:lvl w:ilvl="1" w:tplc="30A0BBB6">
      <w:start w:val="1"/>
      <w:numFmt w:val="upperRoman"/>
      <w:lvlText w:val="%2."/>
      <w:lvlJc w:val="right"/>
      <w:pPr>
        <w:ind w:left="1440" w:hanging="360"/>
      </w:pPr>
      <w:rPr>
        <w:color w:val="548DD4" w:themeColor="text2" w:themeTint="99"/>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3"/>
  </w:num>
  <w:num w:numId="3">
    <w:abstractNumId w:val="37"/>
  </w:num>
  <w:num w:numId="4">
    <w:abstractNumId w:val="15"/>
  </w:num>
  <w:num w:numId="5">
    <w:abstractNumId w:val="9"/>
  </w:num>
  <w:num w:numId="6">
    <w:abstractNumId w:val="35"/>
  </w:num>
  <w:num w:numId="7">
    <w:abstractNumId w:val="38"/>
  </w:num>
  <w:num w:numId="8">
    <w:abstractNumId w:val="1"/>
  </w:num>
  <w:num w:numId="9">
    <w:abstractNumId w:val="30"/>
  </w:num>
  <w:num w:numId="10">
    <w:abstractNumId w:val="39"/>
  </w:num>
  <w:num w:numId="11">
    <w:abstractNumId w:val="32"/>
  </w:num>
  <w:num w:numId="12">
    <w:abstractNumId w:val="22"/>
  </w:num>
  <w:num w:numId="13">
    <w:abstractNumId w:val="34"/>
  </w:num>
  <w:num w:numId="14">
    <w:abstractNumId w:val="16"/>
  </w:num>
  <w:num w:numId="15">
    <w:abstractNumId w:val="24"/>
  </w:num>
  <w:num w:numId="16">
    <w:abstractNumId w:val="5"/>
  </w:num>
  <w:num w:numId="17">
    <w:abstractNumId w:val="6"/>
  </w:num>
  <w:num w:numId="18">
    <w:abstractNumId w:val="26"/>
  </w:num>
  <w:num w:numId="19">
    <w:abstractNumId w:val="2"/>
  </w:num>
  <w:num w:numId="20">
    <w:abstractNumId w:val="12"/>
  </w:num>
  <w:num w:numId="21">
    <w:abstractNumId w:val="10"/>
  </w:num>
  <w:num w:numId="22">
    <w:abstractNumId w:val="7"/>
  </w:num>
  <w:num w:numId="23">
    <w:abstractNumId w:val="27"/>
  </w:num>
  <w:num w:numId="24">
    <w:abstractNumId w:val="11"/>
  </w:num>
  <w:num w:numId="25">
    <w:abstractNumId w:val="14"/>
  </w:num>
  <w:num w:numId="26">
    <w:abstractNumId w:val="25"/>
  </w:num>
  <w:num w:numId="27">
    <w:abstractNumId w:val="0"/>
  </w:num>
  <w:num w:numId="28">
    <w:abstractNumId w:val="3"/>
  </w:num>
  <w:num w:numId="29">
    <w:abstractNumId w:val="13"/>
  </w:num>
  <w:num w:numId="30">
    <w:abstractNumId w:val="4"/>
  </w:num>
  <w:num w:numId="31">
    <w:abstractNumId w:val="33"/>
  </w:num>
  <w:num w:numId="32">
    <w:abstractNumId w:val="20"/>
  </w:num>
  <w:num w:numId="33">
    <w:abstractNumId w:val="21"/>
  </w:num>
  <w:num w:numId="34">
    <w:abstractNumId w:val="36"/>
  </w:num>
  <w:num w:numId="35">
    <w:abstractNumId w:val="28"/>
  </w:num>
  <w:num w:numId="36">
    <w:abstractNumId w:val="8"/>
  </w:num>
  <w:num w:numId="37">
    <w:abstractNumId w:val="17"/>
  </w:num>
  <w:num w:numId="38">
    <w:abstractNumId w:val="19"/>
  </w:num>
  <w:num w:numId="39">
    <w:abstractNumId w:val="29"/>
  </w:num>
  <w:num w:numId="4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C94"/>
    <w:rsid w:val="00000581"/>
    <w:rsid w:val="00002757"/>
    <w:rsid w:val="00011AAA"/>
    <w:rsid w:val="00013399"/>
    <w:rsid w:val="00013442"/>
    <w:rsid w:val="000146AF"/>
    <w:rsid w:val="00015954"/>
    <w:rsid w:val="000168D2"/>
    <w:rsid w:val="00016979"/>
    <w:rsid w:val="00017693"/>
    <w:rsid w:val="00017900"/>
    <w:rsid w:val="0002103D"/>
    <w:rsid w:val="000212AC"/>
    <w:rsid w:val="000213A4"/>
    <w:rsid w:val="00021940"/>
    <w:rsid w:val="00021E39"/>
    <w:rsid w:val="0002206A"/>
    <w:rsid w:val="00022801"/>
    <w:rsid w:val="00023019"/>
    <w:rsid w:val="00024713"/>
    <w:rsid w:val="00025789"/>
    <w:rsid w:val="00031136"/>
    <w:rsid w:val="00032BF0"/>
    <w:rsid w:val="00033233"/>
    <w:rsid w:val="00033E50"/>
    <w:rsid w:val="000345AB"/>
    <w:rsid w:val="000348F8"/>
    <w:rsid w:val="000370F1"/>
    <w:rsid w:val="00041D91"/>
    <w:rsid w:val="000426FB"/>
    <w:rsid w:val="00042E52"/>
    <w:rsid w:val="00043568"/>
    <w:rsid w:val="00043896"/>
    <w:rsid w:val="00045676"/>
    <w:rsid w:val="00045ADF"/>
    <w:rsid w:val="00051E2A"/>
    <w:rsid w:val="00051FE7"/>
    <w:rsid w:val="00053396"/>
    <w:rsid w:val="0005440C"/>
    <w:rsid w:val="0005446D"/>
    <w:rsid w:val="00060422"/>
    <w:rsid w:val="0006147B"/>
    <w:rsid w:val="0006365E"/>
    <w:rsid w:val="000637C8"/>
    <w:rsid w:val="000649AD"/>
    <w:rsid w:val="00065F78"/>
    <w:rsid w:val="000704B2"/>
    <w:rsid w:val="0007074A"/>
    <w:rsid w:val="00070E94"/>
    <w:rsid w:val="00071B71"/>
    <w:rsid w:val="0007456C"/>
    <w:rsid w:val="000748BB"/>
    <w:rsid w:val="00074D4C"/>
    <w:rsid w:val="000762AC"/>
    <w:rsid w:val="00077B60"/>
    <w:rsid w:val="00080BDF"/>
    <w:rsid w:val="00080DC3"/>
    <w:rsid w:val="00081BE6"/>
    <w:rsid w:val="000829AE"/>
    <w:rsid w:val="0008335B"/>
    <w:rsid w:val="000849B1"/>
    <w:rsid w:val="00085593"/>
    <w:rsid w:val="000875D7"/>
    <w:rsid w:val="000877BF"/>
    <w:rsid w:val="00090A13"/>
    <w:rsid w:val="000942C9"/>
    <w:rsid w:val="00094459"/>
    <w:rsid w:val="0009488D"/>
    <w:rsid w:val="000959A7"/>
    <w:rsid w:val="000959C2"/>
    <w:rsid w:val="00095C04"/>
    <w:rsid w:val="0009645A"/>
    <w:rsid w:val="00096569"/>
    <w:rsid w:val="0009751C"/>
    <w:rsid w:val="000A1C5E"/>
    <w:rsid w:val="000A4312"/>
    <w:rsid w:val="000A6CAE"/>
    <w:rsid w:val="000A74F2"/>
    <w:rsid w:val="000A7928"/>
    <w:rsid w:val="000B057E"/>
    <w:rsid w:val="000B0760"/>
    <w:rsid w:val="000B1542"/>
    <w:rsid w:val="000B2F9D"/>
    <w:rsid w:val="000B382F"/>
    <w:rsid w:val="000B3A06"/>
    <w:rsid w:val="000B4769"/>
    <w:rsid w:val="000B4C54"/>
    <w:rsid w:val="000B5283"/>
    <w:rsid w:val="000B5C60"/>
    <w:rsid w:val="000B6020"/>
    <w:rsid w:val="000C0415"/>
    <w:rsid w:val="000C0986"/>
    <w:rsid w:val="000C0C07"/>
    <w:rsid w:val="000C161B"/>
    <w:rsid w:val="000C1721"/>
    <w:rsid w:val="000C1A63"/>
    <w:rsid w:val="000C311D"/>
    <w:rsid w:val="000C32C1"/>
    <w:rsid w:val="000C39C6"/>
    <w:rsid w:val="000C3D28"/>
    <w:rsid w:val="000C3ED7"/>
    <w:rsid w:val="000C6D6A"/>
    <w:rsid w:val="000C772A"/>
    <w:rsid w:val="000D02E0"/>
    <w:rsid w:val="000D0BE6"/>
    <w:rsid w:val="000D101C"/>
    <w:rsid w:val="000D159A"/>
    <w:rsid w:val="000D5341"/>
    <w:rsid w:val="000D6748"/>
    <w:rsid w:val="000E13BF"/>
    <w:rsid w:val="000E2414"/>
    <w:rsid w:val="000E2AA2"/>
    <w:rsid w:val="000E5CD3"/>
    <w:rsid w:val="000E71A2"/>
    <w:rsid w:val="000E7E62"/>
    <w:rsid w:val="000F495F"/>
    <w:rsid w:val="000F5B79"/>
    <w:rsid w:val="000F5F7D"/>
    <w:rsid w:val="000F6E6D"/>
    <w:rsid w:val="000F7117"/>
    <w:rsid w:val="0010025A"/>
    <w:rsid w:val="00100512"/>
    <w:rsid w:val="00100840"/>
    <w:rsid w:val="00101692"/>
    <w:rsid w:val="00102ED3"/>
    <w:rsid w:val="00103EF4"/>
    <w:rsid w:val="00104C91"/>
    <w:rsid w:val="00104EA3"/>
    <w:rsid w:val="001054AB"/>
    <w:rsid w:val="00106200"/>
    <w:rsid w:val="0010769A"/>
    <w:rsid w:val="001102CA"/>
    <w:rsid w:val="001104E1"/>
    <w:rsid w:val="00110FE0"/>
    <w:rsid w:val="00111381"/>
    <w:rsid w:val="00111546"/>
    <w:rsid w:val="0011456D"/>
    <w:rsid w:val="00115188"/>
    <w:rsid w:val="00115B1C"/>
    <w:rsid w:val="00116E0D"/>
    <w:rsid w:val="0012054D"/>
    <w:rsid w:val="00120F17"/>
    <w:rsid w:val="0012121F"/>
    <w:rsid w:val="00122354"/>
    <w:rsid w:val="00123D20"/>
    <w:rsid w:val="00125432"/>
    <w:rsid w:val="001263F2"/>
    <w:rsid w:val="00127E80"/>
    <w:rsid w:val="00127F14"/>
    <w:rsid w:val="0013255A"/>
    <w:rsid w:val="0013429A"/>
    <w:rsid w:val="00134467"/>
    <w:rsid w:val="001352D0"/>
    <w:rsid w:val="00142A7F"/>
    <w:rsid w:val="00143439"/>
    <w:rsid w:val="00144898"/>
    <w:rsid w:val="0014707E"/>
    <w:rsid w:val="00151F7C"/>
    <w:rsid w:val="001526F0"/>
    <w:rsid w:val="00153158"/>
    <w:rsid w:val="001535A2"/>
    <w:rsid w:val="00155655"/>
    <w:rsid w:val="001573C3"/>
    <w:rsid w:val="0015747D"/>
    <w:rsid w:val="001611CF"/>
    <w:rsid w:val="001625CE"/>
    <w:rsid w:val="001639FE"/>
    <w:rsid w:val="00164564"/>
    <w:rsid w:val="001650B3"/>
    <w:rsid w:val="00165D03"/>
    <w:rsid w:val="00166F83"/>
    <w:rsid w:val="00167E68"/>
    <w:rsid w:val="00170C02"/>
    <w:rsid w:val="00172C05"/>
    <w:rsid w:val="00172C8B"/>
    <w:rsid w:val="00172F74"/>
    <w:rsid w:val="0017538A"/>
    <w:rsid w:val="00177AD3"/>
    <w:rsid w:val="00177E2C"/>
    <w:rsid w:val="00180447"/>
    <w:rsid w:val="00181E43"/>
    <w:rsid w:val="00182429"/>
    <w:rsid w:val="00183E36"/>
    <w:rsid w:val="00184A9D"/>
    <w:rsid w:val="001858BC"/>
    <w:rsid w:val="00190979"/>
    <w:rsid w:val="0019300B"/>
    <w:rsid w:val="00193188"/>
    <w:rsid w:val="001954B2"/>
    <w:rsid w:val="00195C26"/>
    <w:rsid w:val="001A077B"/>
    <w:rsid w:val="001A11B5"/>
    <w:rsid w:val="001A2C75"/>
    <w:rsid w:val="001A4751"/>
    <w:rsid w:val="001A4A59"/>
    <w:rsid w:val="001A6790"/>
    <w:rsid w:val="001B0245"/>
    <w:rsid w:val="001B0539"/>
    <w:rsid w:val="001B2112"/>
    <w:rsid w:val="001B3B77"/>
    <w:rsid w:val="001B3CA7"/>
    <w:rsid w:val="001B3D19"/>
    <w:rsid w:val="001B5322"/>
    <w:rsid w:val="001B6326"/>
    <w:rsid w:val="001B6EF6"/>
    <w:rsid w:val="001C1FDB"/>
    <w:rsid w:val="001C2BB8"/>
    <w:rsid w:val="001C340C"/>
    <w:rsid w:val="001C3DB6"/>
    <w:rsid w:val="001C3F92"/>
    <w:rsid w:val="001C513A"/>
    <w:rsid w:val="001C5FCD"/>
    <w:rsid w:val="001C61F4"/>
    <w:rsid w:val="001C6908"/>
    <w:rsid w:val="001D0FA4"/>
    <w:rsid w:val="001D1E5A"/>
    <w:rsid w:val="001D43FA"/>
    <w:rsid w:val="001E01A4"/>
    <w:rsid w:val="001E1D12"/>
    <w:rsid w:val="001E61C9"/>
    <w:rsid w:val="001E66A2"/>
    <w:rsid w:val="001E7334"/>
    <w:rsid w:val="001F0088"/>
    <w:rsid w:val="001F1748"/>
    <w:rsid w:val="001F18FB"/>
    <w:rsid w:val="001F193A"/>
    <w:rsid w:val="001F1C25"/>
    <w:rsid w:val="001F4D8B"/>
    <w:rsid w:val="002017A1"/>
    <w:rsid w:val="002036AA"/>
    <w:rsid w:val="0020457E"/>
    <w:rsid w:val="00205B99"/>
    <w:rsid w:val="00206DD2"/>
    <w:rsid w:val="00211103"/>
    <w:rsid w:val="002116B9"/>
    <w:rsid w:val="002123C2"/>
    <w:rsid w:val="0021685A"/>
    <w:rsid w:val="00220EB1"/>
    <w:rsid w:val="00223292"/>
    <w:rsid w:val="00223954"/>
    <w:rsid w:val="00223A6C"/>
    <w:rsid w:val="00224469"/>
    <w:rsid w:val="002246E7"/>
    <w:rsid w:val="00225D59"/>
    <w:rsid w:val="0022605A"/>
    <w:rsid w:val="002262AA"/>
    <w:rsid w:val="00226665"/>
    <w:rsid w:val="0022693D"/>
    <w:rsid w:val="00227121"/>
    <w:rsid w:val="00230C30"/>
    <w:rsid w:val="00231C89"/>
    <w:rsid w:val="00231FD4"/>
    <w:rsid w:val="002320FE"/>
    <w:rsid w:val="00232D80"/>
    <w:rsid w:val="002337C6"/>
    <w:rsid w:val="00237B84"/>
    <w:rsid w:val="00240012"/>
    <w:rsid w:val="00241484"/>
    <w:rsid w:val="00243A38"/>
    <w:rsid w:val="0024662C"/>
    <w:rsid w:val="002505B6"/>
    <w:rsid w:val="00254234"/>
    <w:rsid w:val="002547F5"/>
    <w:rsid w:val="00255573"/>
    <w:rsid w:val="00255586"/>
    <w:rsid w:val="00257085"/>
    <w:rsid w:val="00261644"/>
    <w:rsid w:val="00261EA8"/>
    <w:rsid w:val="002626A4"/>
    <w:rsid w:val="0026291F"/>
    <w:rsid w:val="00262939"/>
    <w:rsid w:val="0026313C"/>
    <w:rsid w:val="00264CE1"/>
    <w:rsid w:val="002652EA"/>
    <w:rsid w:val="002656DA"/>
    <w:rsid w:val="002703DE"/>
    <w:rsid w:val="0027250F"/>
    <w:rsid w:val="002738FD"/>
    <w:rsid w:val="00283369"/>
    <w:rsid w:val="002859AD"/>
    <w:rsid w:val="002865C6"/>
    <w:rsid w:val="002872F9"/>
    <w:rsid w:val="0029051B"/>
    <w:rsid w:val="00291431"/>
    <w:rsid w:val="00295890"/>
    <w:rsid w:val="00296BE9"/>
    <w:rsid w:val="002A0768"/>
    <w:rsid w:val="002A1028"/>
    <w:rsid w:val="002A17E4"/>
    <w:rsid w:val="002A32AB"/>
    <w:rsid w:val="002A3727"/>
    <w:rsid w:val="002A388F"/>
    <w:rsid w:val="002A3D95"/>
    <w:rsid w:val="002A6C9C"/>
    <w:rsid w:val="002A7098"/>
    <w:rsid w:val="002B2784"/>
    <w:rsid w:val="002B30AB"/>
    <w:rsid w:val="002B3C78"/>
    <w:rsid w:val="002B3EF1"/>
    <w:rsid w:val="002B5109"/>
    <w:rsid w:val="002B59A7"/>
    <w:rsid w:val="002B5B5D"/>
    <w:rsid w:val="002B5C75"/>
    <w:rsid w:val="002B5D6C"/>
    <w:rsid w:val="002B5FE5"/>
    <w:rsid w:val="002B6AC4"/>
    <w:rsid w:val="002B79A6"/>
    <w:rsid w:val="002B7FF4"/>
    <w:rsid w:val="002C061E"/>
    <w:rsid w:val="002C182C"/>
    <w:rsid w:val="002C27AF"/>
    <w:rsid w:val="002C2CB2"/>
    <w:rsid w:val="002C5775"/>
    <w:rsid w:val="002C6AB2"/>
    <w:rsid w:val="002C7D39"/>
    <w:rsid w:val="002D17BC"/>
    <w:rsid w:val="002D1920"/>
    <w:rsid w:val="002D378F"/>
    <w:rsid w:val="002D49AE"/>
    <w:rsid w:val="002D5DA7"/>
    <w:rsid w:val="002D7212"/>
    <w:rsid w:val="002D77BE"/>
    <w:rsid w:val="002E0094"/>
    <w:rsid w:val="002E0611"/>
    <w:rsid w:val="002E068A"/>
    <w:rsid w:val="002E1E0C"/>
    <w:rsid w:val="002E255B"/>
    <w:rsid w:val="002E2E17"/>
    <w:rsid w:val="002E339B"/>
    <w:rsid w:val="002E363E"/>
    <w:rsid w:val="002E3EFE"/>
    <w:rsid w:val="002E75A4"/>
    <w:rsid w:val="002E76F5"/>
    <w:rsid w:val="002E7751"/>
    <w:rsid w:val="002E7BD2"/>
    <w:rsid w:val="002F1247"/>
    <w:rsid w:val="002F3494"/>
    <w:rsid w:val="002F4CA1"/>
    <w:rsid w:val="002F50C6"/>
    <w:rsid w:val="002F5871"/>
    <w:rsid w:val="002F58FA"/>
    <w:rsid w:val="002F6545"/>
    <w:rsid w:val="002F79FC"/>
    <w:rsid w:val="003002EB"/>
    <w:rsid w:val="00300EF6"/>
    <w:rsid w:val="0030175B"/>
    <w:rsid w:val="003023A6"/>
    <w:rsid w:val="00304485"/>
    <w:rsid w:val="00304D64"/>
    <w:rsid w:val="003051CB"/>
    <w:rsid w:val="003101A7"/>
    <w:rsid w:val="0031135C"/>
    <w:rsid w:val="003115C1"/>
    <w:rsid w:val="00312D1B"/>
    <w:rsid w:val="00312D8A"/>
    <w:rsid w:val="0031302A"/>
    <w:rsid w:val="00313596"/>
    <w:rsid w:val="003153CC"/>
    <w:rsid w:val="003166C9"/>
    <w:rsid w:val="00316C20"/>
    <w:rsid w:val="00317715"/>
    <w:rsid w:val="003270AB"/>
    <w:rsid w:val="00327ADA"/>
    <w:rsid w:val="00330866"/>
    <w:rsid w:val="00330FDC"/>
    <w:rsid w:val="00334019"/>
    <w:rsid w:val="003363BC"/>
    <w:rsid w:val="00341843"/>
    <w:rsid w:val="00342D54"/>
    <w:rsid w:val="0034345A"/>
    <w:rsid w:val="00346EBD"/>
    <w:rsid w:val="003473FA"/>
    <w:rsid w:val="0035028E"/>
    <w:rsid w:val="00350C8A"/>
    <w:rsid w:val="003519DF"/>
    <w:rsid w:val="0035267F"/>
    <w:rsid w:val="0035293F"/>
    <w:rsid w:val="00354C98"/>
    <w:rsid w:val="003576D9"/>
    <w:rsid w:val="00360D68"/>
    <w:rsid w:val="003623CB"/>
    <w:rsid w:val="0036256A"/>
    <w:rsid w:val="00363D28"/>
    <w:rsid w:val="00365805"/>
    <w:rsid w:val="00366981"/>
    <w:rsid w:val="0036784D"/>
    <w:rsid w:val="00370FED"/>
    <w:rsid w:val="00373941"/>
    <w:rsid w:val="00373AF4"/>
    <w:rsid w:val="00373D8F"/>
    <w:rsid w:val="00375F67"/>
    <w:rsid w:val="00376426"/>
    <w:rsid w:val="0037695D"/>
    <w:rsid w:val="00377910"/>
    <w:rsid w:val="00377ACE"/>
    <w:rsid w:val="003800D4"/>
    <w:rsid w:val="0038046C"/>
    <w:rsid w:val="00380826"/>
    <w:rsid w:val="00380C10"/>
    <w:rsid w:val="00380D20"/>
    <w:rsid w:val="00381401"/>
    <w:rsid w:val="0038360B"/>
    <w:rsid w:val="00384ABA"/>
    <w:rsid w:val="00385E4E"/>
    <w:rsid w:val="0038647F"/>
    <w:rsid w:val="00386CB5"/>
    <w:rsid w:val="00387737"/>
    <w:rsid w:val="003905E9"/>
    <w:rsid w:val="00392FC8"/>
    <w:rsid w:val="00396A16"/>
    <w:rsid w:val="003A0DDF"/>
    <w:rsid w:val="003A2B00"/>
    <w:rsid w:val="003B05A4"/>
    <w:rsid w:val="003B2AA9"/>
    <w:rsid w:val="003B3E26"/>
    <w:rsid w:val="003B3FEF"/>
    <w:rsid w:val="003B52B8"/>
    <w:rsid w:val="003B792F"/>
    <w:rsid w:val="003C1F73"/>
    <w:rsid w:val="003C37A2"/>
    <w:rsid w:val="003C499B"/>
    <w:rsid w:val="003C60C0"/>
    <w:rsid w:val="003C74B7"/>
    <w:rsid w:val="003C796D"/>
    <w:rsid w:val="003D0989"/>
    <w:rsid w:val="003D0AF2"/>
    <w:rsid w:val="003D1457"/>
    <w:rsid w:val="003D292F"/>
    <w:rsid w:val="003D2C2E"/>
    <w:rsid w:val="003D3613"/>
    <w:rsid w:val="003D3BA4"/>
    <w:rsid w:val="003D4CDE"/>
    <w:rsid w:val="003D6754"/>
    <w:rsid w:val="003D69BF"/>
    <w:rsid w:val="003D73DE"/>
    <w:rsid w:val="003D7AAE"/>
    <w:rsid w:val="003E1F2C"/>
    <w:rsid w:val="003E26B6"/>
    <w:rsid w:val="003E3A39"/>
    <w:rsid w:val="003E6FD8"/>
    <w:rsid w:val="003E7FD4"/>
    <w:rsid w:val="003F46CE"/>
    <w:rsid w:val="003F4BF0"/>
    <w:rsid w:val="003F54E5"/>
    <w:rsid w:val="003F56A8"/>
    <w:rsid w:val="003F5CC4"/>
    <w:rsid w:val="003F6797"/>
    <w:rsid w:val="003F6E20"/>
    <w:rsid w:val="003F77E8"/>
    <w:rsid w:val="00401133"/>
    <w:rsid w:val="004028B0"/>
    <w:rsid w:val="004036CA"/>
    <w:rsid w:val="00403952"/>
    <w:rsid w:val="00406247"/>
    <w:rsid w:val="00407427"/>
    <w:rsid w:val="00410BF8"/>
    <w:rsid w:val="00410E27"/>
    <w:rsid w:val="0041374D"/>
    <w:rsid w:val="00413E16"/>
    <w:rsid w:val="004164CB"/>
    <w:rsid w:val="00420874"/>
    <w:rsid w:val="004217B7"/>
    <w:rsid w:val="00422645"/>
    <w:rsid w:val="0042350E"/>
    <w:rsid w:val="004279A1"/>
    <w:rsid w:val="004305F9"/>
    <w:rsid w:val="00432D55"/>
    <w:rsid w:val="0043365C"/>
    <w:rsid w:val="00435532"/>
    <w:rsid w:val="00436FD0"/>
    <w:rsid w:val="004420C3"/>
    <w:rsid w:val="0044254A"/>
    <w:rsid w:val="00442CE1"/>
    <w:rsid w:val="00444145"/>
    <w:rsid w:val="004468EF"/>
    <w:rsid w:val="00446AFC"/>
    <w:rsid w:val="00447756"/>
    <w:rsid w:val="00450211"/>
    <w:rsid w:val="004506FA"/>
    <w:rsid w:val="004531E5"/>
    <w:rsid w:val="004538FA"/>
    <w:rsid w:val="00455389"/>
    <w:rsid w:val="004604E3"/>
    <w:rsid w:val="00460A08"/>
    <w:rsid w:val="00460B0C"/>
    <w:rsid w:val="00460D7B"/>
    <w:rsid w:val="0046146E"/>
    <w:rsid w:val="004616B9"/>
    <w:rsid w:val="00463F20"/>
    <w:rsid w:val="00464A87"/>
    <w:rsid w:val="004656DB"/>
    <w:rsid w:val="00465D24"/>
    <w:rsid w:val="00466FF2"/>
    <w:rsid w:val="00467110"/>
    <w:rsid w:val="00467F8F"/>
    <w:rsid w:val="004704A8"/>
    <w:rsid w:val="00470C54"/>
    <w:rsid w:val="00475256"/>
    <w:rsid w:val="00475F99"/>
    <w:rsid w:val="00477D82"/>
    <w:rsid w:val="004801C1"/>
    <w:rsid w:val="004801D8"/>
    <w:rsid w:val="00480FD8"/>
    <w:rsid w:val="00481AF1"/>
    <w:rsid w:val="00482AB5"/>
    <w:rsid w:val="004831EC"/>
    <w:rsid w:val="00483C59"/>
    <w:rsid w:val="00483CFE"/>
    <w:rsid w:val="00484E04"/>
    <w:rsid w:val="00485373"/>
    <w:rsid w:val="0048568D"/>
    <w:rsid w:val="00485B26"/>
    <w:rsid w:val="00486CC3"/>
    <w:rsid w:val="00490059"/>
    <w:rsid w:val="00490262"/>
    <w:rsid w:val="00490ABA"/>
    <w:rsid w:val="00492102"/>
    <w:rsid w:val="0049247B"/>
    <w:rsid w:val="004924F9"/>
    <w:rsid w:val="004939C6"/>
    <w:rsid w:val="00493E91"/>
    <w:rsid w:val="00494018"/>
    <w:rsid w:val="0049429E"/>
    <w:rsid w:val="00494C4E"/>
    <w:rsid w:val="00495585"/>
    <w:rsid w:val="00496470"/>
    <w:rsid w:val="00496477"/>
    <w:rsid w:val="00497B3B"/>
    <w:rsid w:val="004A0C8F"/>
    <w:rsid w:val="004A2FDB"/>
    <w:rsid w:val="004A3A9D"/>
    <w:rsid w:val="004A41F5"/>
    <w:rsid w:val="004A47C6"/>
    <w:rsid w:val="004A712C"/>
    <w:rsid w:val="004B0EA1"/>
    <w:rsid w:val="004B552D"/>
    <w:rsid w:val="004B6C66"/>
    <w:rsid w:val="004B6EA3"/>
    <w:rsid w:val="004B735F"/>
    <w:rsid w:val="004C00C1"/>
    <w:rsid w:val="004C13A2"/>
    <w:rsid w:val="004C1580"/>
    <w:rsid w:val="004C15AD"/>
    <w:rsid w:val="004C1765"/>
    <w:rsid w:val="004C1EE9"/>
    <w:rsid w:val="004C4254"/>
    <w:rsid w:val="004C521B"/>
    <w:rsid w:val="004C5A8E"/>
    <w:rsid w:val="004C5ED0"/>
    <w:rsid w:val="004C6B89"/>
    <w:rsid w:val="004C6EFD"/>
    <w:rsid w:val="004D0259"/>
    <w:rsid w:val="004D039D"/>
    <w:rsid w:val="004D067E"/>
    <w:rsid w:val="004D06F0"/>
    <w:rsid w:val="004D1D9A"/>
    <w:rsid w:val="004D484D"/>
    <w:rsid w:val="004D5785"/>
    <w:rsid w:val="004D5FC2"/>
    <w:rsid w:val="004E43E0"/>
    <w:rsid w:val="004E4465"/>
    <w:rsid w:val="004E49F9"/>
    <w:rsid w:val="004E4FD6"/>
    <w:rsid w:val="004E54E9"/>
    <w:rsid w:val="004E6817"/>
    <w:rsid w:val="004E6E3F"/>
    <w:rsid w:val="004E7863"/>
    <w:rsid w:val="004F008A"/>
    <w:rsid w:val="004F0204"/>
    <w:rsid w:val="004F349C"/>
    <w:rsid w:val="004F382F"/>
    <w:rsid w:val="004F38DE"/>
    <w:rsid w:val="004F3AE0"/>
    <w:rsid w:val="004F6985"/>
    <w:rsid w:val="004F6B4D"/>
    <w:rsid w:val="004F7581"/>
    <w:rsid w:val="00500CB7"/>
    <w:rsid w:val="0050153D"/>
    <w:rsid w:val="00502D7C"/>
    <w:rsid w:val="005032D8"/>
    <w:rsid w:val="00503FDA"/>
    <w:rsid w:val="0050500F"/>
    <w:rsid w:val="005070E1"/>
    <w:rsid w:val="00512FFB"/>
    <w:rsid w:val="00513B85"/>
    <w:rsid w:val="00513FDF"/>
    <w:rsid w:val="00514F56"/>
    <w:rsid w:val="00515285"/>
    <w:rsid w:val="00522836"/>
    <w:rsid w:val="0052337B"/>
    <w:rsid w:val="0052513C"/>
    <w:rsid w:val="00525857"/>
    <w:rsid w:val="00526FB8"/>
    <w:rsid w:val="00527464"/>
    <w:rsid w:val="00530FFC"/>
    <w:rsid w:val="00531D60"/>
    <w:rsid w:val="00534303"/>
    <w:rsid w:val="0053506A"/>
    <w:rsid w:val="00535AEF"/>
    <w:rsid w:val="00535EA4"/>
    <w:rsid w:val="00541594"/>
    <w:rsid w:val="00542664"/>
    <w:rsid w:val="00542B09"/>
    <w:rsid w:val="00547B8A"/>
    <w:rsid w:val="00550F57"/>
    <w:rsid w:val="00551924"/>
    <w:rsid w:val="00551F01"/>
    <w:rsid w:val="00552799"/>
    <w:rsid w:val="005536B9"/>
    <w:rsid w:val="005545A0"/>
    <w:rsid w:val="005568AF"/>
    <w:rsid w:val="00557292"/>
    <w:rsid w:val="005622D2"/>
    <w:rsid w:val="00563C6D"/>
    <w:rsid w:val="00564B4D"/>
    <w:rsid w:val="00564CD7"/>
    <w:rsid w:val="005652FD"/>
    <w:rsid w:val="00566213"/>
    <w:rsid w:val="00566E94"/>
    <w:rsid w:val="00566FA1"/>
    <w:rsid w:val="005725E5"/>
    <w:rsid w:val="005738D5"/>
    <w:rsid w:val="00573E88"/>
    <w:rsid w:val="0057546E"/>
    <w:rsid w:val="00575EA6"/>
    <w:rsid w:val="005760C4"/>
    <w:rsid w:val="005761A2"/>
    <w:rsid w:val="005773A5"/>
    <w:rsid w:val="00580003"/>
    <w:rsid w:val="00580C02"/>
    <w:rsid w:val="005816D0"/>
    <w:rsid w:val="00581DDC"/>
    <w:rsid w:val="00583A5C"/>
    <w:rsid w:val="00583E48"/>
    <w:rsid w:val="0058436E"/>
    <w:rsid w:val="00586883"/>
    <w:rsid w:val="005914A3"/>
    <w:rsid w:val="005947D7"/>
    <w:rsid w:val="00595006"/>
    <w:rsid w:val="00595ECF"/>
    <w:rsid w:val="005960CA"/>
    <w:rsid w:val="005A37D3"/>
    <w:rsid w:val="005A4045"/>
    <w:rsid w:val="005A49DD"/>
    <w:rsid w:val="005A68D5"/>
    <w:rsid w:val="005A6B43"/>
    <w:rsid w:val="005A6E77"/>
    <w:rsid w:val="005A70EB"/>
    <w:rsid w:val="005B3948"/>
    <w:rsid w:val="005B52AC"/>
    <w:rsid w:val="005B7EE6"/>
    <w:rsid w:val="005C1D51"/>
    <w:rsid w:val="005C2EBA"/>
    <w:rsid w:val="005C4CD3"/>
    <w:rsid w:val="005C65A8"/>
    <w:rsid w:val="005C70D1"/>
    <w:rsid w:val="005D02A4"/>
    <w:rsid w:val="005D1D96"/>
    <w:rsid w:val="005D1F5C"/>
    <w:rsid w:val="005D4DD9"/>
    <w:rsid w:val="005E0B0F"/>
    <w:rsid w:val="005E17F5"/>
    <w:rsid w:val="005E1D22"/>
    <w:rsid w:val="005E2A7A"/>
    <w:rsid w:val="005E30D8"/>
    <w:rsid w:val="005E501B"/>
    <w:rsid w:val="005F0EF6"/>
    <w:rsid w:val="005F1174"/>
    <w:rsid w:val="005F1FDF"/>
    <w:rsid w:val="005F3444"/>
    <w:rsid w:val="005F4B9B"/>
    <w:rsid w:val="005F4F55"/>
    <w:rsid w:val="005F531A"/>
    <w:rsid w:val="005F58A6"/>
    <w:rsid w:val="005F5D05"/>
    <w:rsid w:val="005F7464"/>
    <w:rsid w:val="00600151"/>
    <w:rsid w:val="00601ADF"/>
    <w:rsid w:val="00601E95"/>
    <w:rsid w:val="006027A7"/>
    <w:rsid w:val="0060527A"/>
    <w:rsid w:val="00606505"/>
    <w:rsid w:val="00612DB0"/>
    <w:rsid w:val="00614E14"/>
    <w:rsid w:val="00614E84"/>
    <w:rsid w:val="00615375"/>
    <w:rsid w:val="006212F9"/>
    <w:rsid w:val="00623EED"/>
    <w:rsid w:val="0062440D"/>
    <w:rsid w:val="006304A5"/>
    <w:rsid w:val="0063222C"/>
    <w:rsid w:val="006325F4"/>
    <w:rsid w:val="00636452"/>
    <w:rsid w:val="00637E40"/>
    <w:rsid w:val="006404AE"/>
    <w:rsid w:val="006404DB"/>
    <w:rsid w:val="00641348"/>
    <w:rsid w:val="00641B41"/>
    <w:rsid w:val="00650A75"/>
    <w:rsid w:val="00651EC9"/>
    <w:rsid w:val="0065339E"/>
    <w:rsid w:val="00656173"/>
    <w:rsid w:val="00656753"/>
    <w:rsid w:val="00656C58"/>
    <w:rsid w:val="00660A4E"/>
    <w:rsid w:val="00660EE8"/>
    <w:rsid w:val="00662FE6"/>
    <w:rsid w:val="00663E28"/>
    <w:rsid w:val="00663E60"/>
    <w:rsid w:val="00664719"/>
    <w:rsid w:val="0066476C"/>
    <w:rsid w:val="006648D3"/>
    <w:rsid w:val="00664CD9"/>
    <w:rsid w:val="00664F3D"/>
    <w:rsid w:val="00671354"/>
    <w:rsid w:val="0067156B"/>
    <w:rsid w:val="00671FC4"/>
    <w:rsid w:val="006730F9"/>
    <w:rsid w:val="00673507"/>
    <w:rsid w:val="006737AE"/>
    <w:rsid w:val="00674D06"/>
    <w:rsid w:val="00677583"/>
    <w:rsid w:val="0068027B"/>
    <w:rsid w:val="00683FC2"/>
    <w:rsid w:val="0068516F"/>
    <w:rsid w:val="00686BDB"/>
    <w:rsid w:val="006875C3"/>
    <w:rsid w:val="00687A43"/>
    <w:rsid w:val="00690E06"/>
    <w:rsid w:val="00691137"/>
    <w:rsid w:val="00691817"/>
    <w:rsid w:val="00692246"/>
    <w:rsid w:val="00696C70"/>
    <w:rsid w:val="00696DEA"/>
    <w:rsid w:val="006A2937"/>
    <w:rsid w:val="006A4CE7"/>
    <w:rsid w:val="006A6C96"/>
    <w:rsid w:val="006B0148"/>
    <w:rsid w:val="006B18B8"/>
    <w:rsid w:val="006B5BFC"/>
    <w:rsid w:val="006B7B8C"/>
    <w:rsid w:val="006B7E06"/>
    <w:rsid w:val="006C0A77"/>
    <w:rsid w:val="006C2C7B"/>
    <w:rsid w:val="006C521D"/>
    <w:rsid w:val="006C5677"/>
    <w:rsid w:val="006D1E43"/>
    <w:rsid w:val="006D25C9"/>
    <w:rsid w:val="006D2D63"/>
    <w:rsid w:val="006D30FD"/>
    <w:rsid w:val="006D3B88"/>
    <w:rsid w:val="006D3EBF"/>
    <w:rsid w:val="006D6B3D"/>
    <w:rsid w:val="006D78A9"/>
    <w:rsid w:val="006E077D"/>
    <w:rsid w:val="006E1D5A"/>
    <w:rsid w:val="006E2CF1"/>
    <w:rsid w:val="006E2F86"/>
    <w:rsid w:val="006E57E0"/>
    <w:rsid w:val="006F0785"/>
    <w:rsid w:val="006F117D"/>
    <w:rsid w:val="006F149F"/>
    <w:rsid w:val="006F1D80"/>
    <w:rsid w:val="006F2819"/>
    <w:rsid w:val="006F2FE9"/>
    <w:rsid w:val="006F45D5"/>
    <w:rsid w:val="006F575F"/>
    <w:rsid w:val="006F7B54"/>
    <w:rsid w:val="006F7B68"/>
    <w:rsid w:val="00700FC5"/>
    <w:rsid w:val="00702C8E"/>
    <w:rsid w:val="007049E0"/>
    <w:rsid w:val="007054BF"/>
    <w:rsid w:val="00705FE8"/>
    <w:rsid w:val="007066B2"/>
    <w:rsid w:val="0070701C"/>
    <w:rsid w:val="00707877"/>
    <w:rsid w:val="007101B8"/>
    <w:rsid w:val="00710213"/>
    <w:rsid w:val="00711857"/>
    <w:rsid w:val="007138F9"/>
    <w:rsid w:val="00713C59"/>
    <w:rsid w:val="00714696"/>
    <w:rsid w:val="007150B0"/>
    <w:rsid w:val="007155B6"/>
    <w:rsid w:val="007156FA"/>
    <w:rsid w:val="00717052"/>
    <w:rsid w:val="0072105E"/>
    <w:rsid w:val="00724D21"/>
    <w:rsid w:val="00724F3D"/>
    <w:rsid w:val="007252C6"/>
    <w:rsid w:val="00726CB8"/>
    <w:rsid w:val="0073081B"/>
    <w:rsid w:val="0073292C"/>
    <w:rsid w:val="00732F86"/>
    <w:rsid w:val="007333C8"/>
    <w:rsid w:val="007355BB"/>
    <w:rsid w:val="00735E8A"/>
    <w:rsid w:val="00737BCB"/>
    <w:rsid w:val="00737E30"/>
    <w:rsid w:val="0074190C"/>
    <w:rsid w:val="00742012"/>
    <w:rsid w:val="00743545"/>
    <w:rsid w:val="0074477F"/>
    <w:rsid w:val="00745841"/>
    <w:rsid w:val="00747F2B"/>
    <w:rsid w:val="0075142C"/>
    <w:rsid w:val="0075170C"/>
    <w:rsid w:val="00753382"/>
    <w:rsid w:val="00753405"/>
    <w:rsid w:val="007537AC"/>
    <w:rsid w:val="007548EF"/>
    <w:rsid w:val="00754F7A"/>
    <w:rsid w:val="007564F5"/>
    <w:rsid w:val="007568E8"/>
    <w:rsid w:val="00757C3C"/>
    <w:rsid w:val="00757CCD"/>
    <w:rsid w:val="0076093C"/>
    <w:rsid w:val="007669D6"/>
    <w:rsid w:val="00771561"/>
    <w:rsid w:val="0077361C"/>
    <w:rsid w:val="00776AA5"/>
    <w:rsid w:val="00776D6F"/>
    <w:rsid w:val="00777354"/>
    <w:rsid w:val="00781CC5"/>
    <w:rsid w:val="00781F07"/>
    <w:rsid w:val="00784ED3"/>
    <w:rsid w:val="00784F18"/>
    <w:rsid w:val="00785722"/>
    <w:rsid w:val="0078597C"/>
    <w:rsid w:val="00786050"/>
    <w:rsid w:val="00786150"/>
    <w:rsid w:val="00786C58"/>
    <w:rsid w:val="00790034"/>
    <w:rsid w:val="00791242"/>
    <w:rsid w:val="00794FA8"/>
    <w:rsid w:val="0079529C"/>
    <w:rsid w:val="00795AED"/>
    <w:rsid w:val="007968E8"/>
    <w:rsid w:val="007A0977"/>
    <w:rsid w:val="007A0E80"/>
    <w:rsid w:val="007A20E3"/>
    <w:rsid w:val="007A387C"/>
    <w:rsid w:val="007A4EB2"/>
    <w:rsid w:val="007A5498"/>
    <w:rsid w:val="007A55C5"/>
    <w:rsid w:val="007A5FF9"/>
    <w:rsid w:val="007A6E79"/>
    <w:rsid w:val="007B0123"/>
    <w:rsid w:val="007B06D9"/>
    <w:rsid w:val="007B15CA"/>
    <w:rsid w:val="007B417D"/>
    <w:rsid w:val="007B7433"/>
    <w:rsid w:val="007B7515"/>
    <w:rsid w:val="007B7780"/>
    <w:rsid w:val="007B7E07"/>
    <w:rsid w:val="007C002C"/>
    <w:rsid w:val="007C2C42"/>
    <w:rsid w:val="007C4581"/>
    <w:rsid w:val="007C6DBB"/>
    <w:rsid w:val="007D1445"/>
    <w:rsid w:val="007D3DEE"/>
    <w:rsid w:val="007D5C4F"/>
    <w:rsid w:val="007E0946"/>
    <w:rsid w:val="007E25A0"/>
    <w:rsid w:val="007E45DD"/>
    <w:rsid w:val="007E4EDE"/>
    <w:rsid w:val="007F0069"/>
    <w:rsid w:val="007F26BB"/>
    <w:rsid w:val="007F2BEF"/>
    <w:rsid w:val="007F4454"/>
    <w:rsid w:val="007F4552"/>
    <w:rsid w:val="007F5C15"/>
    <w:rsid w:val="007F5EB7"/>
    <w:rsid w:val="007F6703"/>
    <w:rsid w:val="007F72AC"/>
    <w:rsid w:val="007F7B57"/>
    <w:rsid w:val="00800EEA"/>
    <w:rsid w:val="00801EEE"/>
    <w:rsid w:val="00803547"/>
    <w:rsid w:val="008037F9"/>
    <w:rsid w:val="00803C48"/>
    <w:rsid w:val="008052F5"/>
    <w:rsid w:val="008053C3"/>
    <w:rsid w:val="00806BE1"/>
    <w:rsid w:val="00810996"/>
    <w:rsid w:val="00811C3B"/>
    <w:rsid w:val="0081200D"/>
    <w:rsid w:val="0081501D"/>
    <w:rsid w:val="008156AD"/>
    <w:rsid w:val="008156DF"/>
    <w:rsid w:val="008163A7"/>
    <w:rsid w:val="00816649"/>
    <w:rsid w:val="00816782"/>
    <w:rsid w:val="00816987"/>
    <w:rsid w:val="00816B30"/>
    <w:rsid w:val="008215DA"/>
    <w:rsid w:val="00821B20"/>
    <w:rsid w:val="008236ED"/>
    <w:rsid w:val="00823D39"/>
    <w:rsid w:val="00824A39"/>
    <w:rsid w:val="008275FE"/>
    <w:rsid w:val="0083024E"/>
    <w:rsid w:val="0083251C"/>
    <w:rsid w:val="00833E7D"/>
    <w:rsid w:val="008374CA"/>
    <w:rsid w:val="00841A64"/>
    <w:rsid w:val="00841EB9"/>
    <w:rsid w:val="00842B1A"/>
    <w:rsid w:val="008430CD"/>
    <w:rsid w:val="0084478C"/>
    <w:rsid w:val="008451B8"/>
    <w:rsid w:val="00845B19"/>
    <w:rsid w:val="00845BC0"/>
    <w:rsid w:val="00846370"/>
    <w:rsid w:val="008519F7"/>
    <w:rsid w:val="00852175"/>
    <w:rsid w:val="00854DD4"/>
    <w:rsid w:val="008564F4"/>
    <w:rsid w:val="0085695C"/>
    <w:rsid w:val="00857CE6"/>
    <w:rsid w:val="00860C8D"/>
    <w:rsid w:val="0086219E"/>
    <w:rsid w:val="00863211"/>
    <w:rsid w:val="0086517F"/>
    <w:rsid w:val="00865453"/>
    <w:rsid w:val="00866108"/>
    <w:rsid w:val="00867104"/>
    <w:rsid w:val="008708A6"/>
    <w:rsid w:val="00871C4D"/>
    <w:rsid w:val="00872495"/>
    <w:rsid w:val="00872EB9"/>
    <w:rsid w:val="00874F2D"/>
    <w:rsid w:val="0087580A"/>
    <w:rsid w:val="00875CAA"/>
    <w:rsid w:val="0087607C"/>
    <w:rsid w:val="00876F3F"/>
    <w:rsid w:val="008770A8"/>
    <w:rsid w:val="008873C3"/>
    <w:rsid w:val="00890238"/>
    <w:rsid w:val="00890746"/>
    <w:rsid w:val="00890EDD"/>
    <w:rsid w:val="008920A3"/>
    <w:rsid w:val="00894AC7"/>
    <w:rsid w:val="008957F5"/>
    <w:rsid w:val="00895808"/>
    <w:rsid w:val="00896F7F"/>
    <w:rsid w:val="008A0253"/>
    <w:rsid w:val="008A0921"/>
    <w:rsid w:val="008A26CF"/>
    <w:rsid w:val="008A2801"/>
    <w:rsid w:val="008A365F"/>
    <w:rsid w:val="008A5EA9"/>
    <w:rsid w:val="008B0186"/>
    <w:rsid w:val="008B0D6B"/>
    <w:rsid w:val="008B1585"/>
    <w:rsid w:val="008B5415"/>
    <w:rsid w:val="008B57D8"/>
    <w:rsid w:val="008B583F"/>
    <w:rsid w:val="008B60D9"/>
    <w:rsid w:val="008B6410"/>
    <w:rsid w:val="008C08A6"/>
    <w:rsid w:val="008C1BAE"/>
    <w:rsid w:val="008C2B4D"/>
    <w:rsid w:val="008C2C9D"/>
    <w:rsid w:val="008C5E20"/>
    <w:rsid w:val="008C6725"/>
    <w:rsid w:val="008D1103"/>
    <w:rsid w:val="008D162B"/>
    <w:rsid w:val="008D183E"/>
    <w:rsid w:val="008D447A"/>
    <w:rsid w:val="008D4541"/>
    <w:rsid w:val="008D4DA6"/>
    <w:rsid w:val="008E0A54"/>
    <w:rsid w:val="008E2C92"/>
    <w:rsid w:val="008E7726"/>
    <w:rsid w:val="008F3D1F"/>
    <w:rsid w:val="008F5644"/>
    <w:rsid w:val="008F602A"/>
    <w:rsid w:val="008F69C9"/>
    <w:rsid w:val="008F6B1F"/>
    <w:rsid w:val="008F7398"/>
    <w:rsid w:val="008F78BD"/>
    <w:rsid w:val="008F7BD1"/>
    <w:rsid w:val="009001F2"/>
    <w:rsid w:val="0090240A"/>
    <w:rsid w:val="00903890"/>
    <w:rsid w:val="00904403"/>
    <w:rsid w:val="00904A08"/>
    <w:rsid w:val="009052CE"/>
    <w:rsid w:val="00906DD0"/>
    <w:rsid w:val="00907E52"/>
    <w:rsid w:val="009107B3"/>
    <w:rsid w:val="00910916"/>
    <w:rsid w:val="009125A5"/>
    <w:rsid w:val="00913737"/>
    <w:rsid w:val="00913EC3"/>
    <w:rsid w:val="00915B22"/>
    <w:rsid w:val="00916032"/>
    <w:rsid w:val="00916B8F"/>
    <w:rsid w:val="00916CD0"/>
    <w:rsid w:val="00917EF7"/>
    <w:rsid w:val="00921153"/>
    <w:rsid w:val="00921494"/>
    <w:rsid w:val="0092149A"/>
    <w:rsid w:val="009250CB"/>
    <w:rsid w:val="009314BE"/>
    <w:rsid w:val="009328C2"/>
    <w:rsid w:val="0093374C"/>
    <w:rsid w:val="00934DD8"/>
    <w:rsid w:val="0093718D"/>
    <w:rsid w:val="009409FE"/>
    <w:rsid w:val="00942219"/>
    <w:rsid w:val="00943F24"/>
    <w:rsid w:val="009468A4"/>
    <w:rsid w:val="0094776C"/>
    <w:rsid w:val="009522DF"/>
    <w:rsid w:val="00952949"/>
    <w:rsid w:val="009541FA"/>
    <w:rsid w:val="0095484B"/>
    <w:rsid w:val="00954C7B"/>
    <w:rsid w:val="00955EF2"/>
    <w:rsid w:val="00956A4E"/>
    <w:rsid w:val="00957A8F"/>
    <w:rsid w:val="00957BA2"/>
    <w:rsid w:val="00962112"/>
    <w:rsid w:val="00962FEE"/>
    <w:rsid w:val="00964463"/>
    <w:rsid w:val="009644FE"/>
    <w:rsid w:val="0096455E"/>
    <w:rsid w:val="009650ED"/>
    <w:rsid w:val="00965B23"/>
    <w:rsid w:val="009660EB"/>
    <w:rsid w:val="00967AA5"/>
    <w:rsid w:val="00970DD9"/>
    <w:rsid w:val="00971114"/>
    <w:rsid w:val="009726B5"/>
    <w:rsid w:val="00972C08"/>
    <w:rsid w:val="00975838"/>
    <w:rsid w:val="00976C92"/>
    <w:rsid w:val="00976E55"/>
    <w:rsid w:val="0097702D"/>
    <w:rsid w:val="00977CEB"/>
    <w:rsid w:val="00980E66"/>
    <w:rsid w:val="00982276"/>
    <w:rsid w:val="00982510"/>
    <w:rsid w:val="00983175"/>
    <w:rsid w:val="009836B9"/>
    <w:rsid w:val="009866E1"/>
    <w:rsid w:val="00986B09"/>
    <w:rsid w:val="00990CA6"/>
    <w:rsid w:val="00991728"/>
    <w:rsid w:val="00991D5D"/>
    <w:rsid w:val="0099395B"/>
    <w:rsid w:val="00995290"/>
    <w:rsid w:val="009A2C5E"/>
    <w:rsid w:val="009A3124"/>
    <w:rsid w:val="009A413C"/>
    <w:rsid w:val="009A4C6E"/>
    <w:rsid w:val="009A51EE"/>
    <w:rsid w:val="009A5399"/>
    <w:rsid w:val="009A596B"/>
    <w:rsid w:val="009A5E30"/>
    <w:rsid w:val="009A75AB"/>
    <w:rsid w:val="009B0998"/>
    <w:rsid w:val="009B113E"/>
    <w:rsid w:val="009B1ED2"/>
    <w:rsid w:val="009B2B20"/>
    <w:rsid w:val="009B301B"/>
    <w:rsid w:val="009B32E9"/>
    <w:rsid w:val="009B4331"/>
    <w:rsid w:val="009C0BC2"/>
    <w:rsid w:val="009C227B"/>
    <w:rsid w:val="009C4200"/>
    <w:rsid w:val="009C7CF8"/>
    <w:rsid w:val="009D0107"/>
    <w:rsid w:val="009D07B6"/>
    <w:rsid w:val="009D0F12"/>
    <w:rsid w:val="009D173A"/>
    <w:rsid w:val="009D2C05"/>
    <w:rsid w:val="009D5E95"/>
    <w:rsid w:val="009D77CF"/>
    <w:rsid w:val="009E0A54"/>
    <w:rsid w:val="009E495D"/>
    <w:rsid w:val="009E5E9B"/>
    <w:rsid w:val="009E6EBC"/>
    <w:rsid w:val="009E787E"/>
    <w:rsid w:val="009F06F7"/>
    <w:rsid w:val="009F0865"/>
    <w:rsid w:val="009F0EB1"/>
    <w:rsid w:val="009F1CB2"/>
    <w:rsid w:val="009F537D"/>
    <w:rsid w:val="009F5C2E"/>
    <w:rsid w:val="009F6AB2"/>
    <w:rsid w:val="009F6FEF"/>
    <w:rsid w:val="00A0104B"/>
    <w:rsid w:val="00A01113"/>
    <w:rsid w:val="00A02222"/>
    <w:rsid w:val="00A02F17"/>
    <w:rsid w:val="00A03C76"/>
    <w:rsid w:val="00A064B8"/>
    <w:rsid w:val="00A06B95"/>
    <w:rsid w:val="00A11676"/>
    <w:rsid w:val="00A11F2F"/>
    <w:rsid w:val="00A13980"/>
    <w:rsid w:val="00A1431D"/>
    <w:rsid w:val="00A1460B"/>
    <w:rsid w:val="00A160C7"/>
    <w:rsid w:val="00A1698A"/>
    <w:rsid w:val="00A16FE5"/>
    <w:rsid w:val="00A2045E"/>
    <w:rsid w:val="00A204FD"/>
    <w:rsid w:val="00A20D7E"/>
    <w:rsid w:val="00A21379"/>
    <w:rsid w:val="00A22C01"/>
    <w:rsid w:val="00A24666"/>
    <w:rsid w:val="00A270E6"/>
    <w:rsid w:val="00A27E1A"/>
    <w:rsid w:val="00A30BDB"/>
    <w:rsid w:val="00A32AC3"/>
    <w:rsid w:val="00A34AC1"/>
    <w:rsid w:val="00A371D7"/>
    <w:rsid w:val="00A3798C"/>
    <w:rsid w:val="00A42691"/>
    <w:rsid w:val="00A42AD9"/>
    <w:rsid w:val="00A42D49"/>
    <w:rsid w:val="00A43226"/>
    <w:rsid w:val="00A450C4"/>
    <w:rsid w:val="00A454C3"/>
    <w:rsid w:val="00A4613E"/>
    <w:rsid w:val="00A47A25"/>
    <w:rsid w:val="00A501F2"/>
    <w:rsid w:val="00A50756"/>
    <w:rsid w:val="00A509F3"/>
    <w:rsid w:val="00A50F79"/>
    <w:rsid w:val="00A51D20"/>
    <w:rsid w:val="00A52977"/>
    <w:rsid w:val="00A5615D"/>
    <w:rsid w:val="00A57918"/>
    <w:rsid w:val="00A6122A"/>
    <w:rsid w:val="00A613E0"/>
    <w:rsid w:val="00A62D3B"/>
    <w:rsid w:val="00A718CE"/>
    <w:rsid w:val="00A732B2"/>
    <w:rsid w:val="00A74CD6"/>
    <w:rsid w:val="00A74F5D"/>
    <w:rsid w:val="00A764C2"/>
    <w:rsid w:val="00A76EC4"/>
    <w:rsid w:val="00A77EB7"/>
    <w:rsid w:val="00A77ECD"/>
    <w:rsid w:val="00A8241B"/>
    <w:rsid w:val="00A82689"/>
    <w:rsid w:val="00A829AB"/>
    <w:rsid w:val="00A829BF"/>
    <w:rsid w:val="00A83CB5"/>
    <w:rsid w:val="00A8478E"/>
    <w:rsid w:val="00A85077"/>
    <w:rsid w:val="00A85CED"/>
    <w:rsid w:val="00A8648D"/>
    <w:rsid w:val="00A87B64"/>
    <w:rsid w:val="00A901FF"/>
    <w:rsid w:val="00A91AF6"/>
    <w:rsid w:val="00A92904"/>
    <w:rsid w:val="00A94E1B"/>
    <w:rsid w:val="00A9538C"/>
    <w:rsid w:val="00A957DA"/>
    <w:rsid w:val="00A975FE"/>
    <w:rsid w:val="00AA0227"/>
    <w:rsid w:val="00AA069A"/>
    <w:rsid w:val="00AA0F50"/>
    <w:rsid w:val="00AA13BD"/>
    <w:rsid w:val="00AA14C1"/>
    <w:rsid w:val="00AA4FCF"/>
    <w:rsid w:val="00AA55ED"/>
    <w:rsid w:val="00AA5957"/>
    <w:rsid w:val="00AB06C4"/>
    <w:rsid w:val="00AB0A32"/>
    <w:rsid w:val="00AB0EAA"/>
    <w:rsid w:val="00AB587E"/>
    <w:rsid w:val="00AB61C5"/>
    <w:rsid w:val="00AC08B7"/>
    <w:rsid w:val="00AC0A3F"/>
    <w:rsid w:val="00AD0571"/>
    <w:rsid w:val="00AD3462"/>
    <w:rsid w:val="00AD3A7F"/>
    <w:rsid w:val="00AD3D81"/>
    <w:rsid w:val="00AD3DC4"/>
    <w:rsid w:val="00AD7132"/>
    <w:rsid w:val="00AD7D79"/>
    <w:rsid w:val="00AD7EBF"/>
    <w:rsid w:val="00AE03D3"/>
    <w:rsid w:val="00AE2969"/>
    <w:rsid w:val="00AE3BBD"/>
    <w:rsid w:val="00AE3D68"/>
    <w:rsid w:val="00AE3F39"/>
    <w:rsid w:val="00AE4364"/>
    <w:rsid w:val="00AE53A0"/>
    <w:rsid w:val="00AE57CD"/>
    <w:rsid w:val="00AE7434"/>
    <w:rsid w:val="00AF05E8"/>
    <w:rsid w:val="00AF1488"/>
    <w:rsid w:val="00AF2754"/>
    <w:rsid w:val="00AF294B"/>
    <w:rsid w:val="00AF32A7"/>
    <w:rsid w:val="00AF3379"/>
    <w:rsid w:val="00AF42BD"/>
    <w:rsid w:val="00AF4C63"/>
    <w:rsid w:val="00B00872"/>
    <w:rsid w:val="00B0150E"/>
    <w:rsid w:val="00B02176"/>
    <w:rsid w:val="00B06B67"/>
    <w:rsid w:val="00B13602"/>
    <w:rsid w:val="00B142E6"/>
    <w:rsid w:val="00B16772"/>
    <w:rsid w:val="00B16A96"/>
    <w:rsid w:val="00B204D0"/>
    <w:rsid w:val="00B204E6"/>
    <w:rsid w:val="00B227C9"/>
    <w:rsid w:val="00B23B1E"/>
    <w:rsid w:val="00B24AFC"/>
    <w:rsid w:val="00B254EA"/>
    <w:rsid w:val="00B311C4"/>
    <w:rsid w:val="00B31294"/>
    <w:rsid w:val="00B32DFE"/>
    <w:rsid w:val="00B33032"/>
    <w:rsid w:val="00B339E3"/>
    <w:rsid w:val="00B33E8E"/>
    <w:rsid w:val="00B35D7E"/>
    <w:rsid w:val="00B37485"/>
    <w:rsid w:val="00B40FD0"/>
    <w:rsid w:val="00B429AB"/>
    <w:rsid w:val="00B43406"/>
    <w:rsid w:val="00B44FF1"/>
    <w:rsid w:val="00B451C0"/>
    <w:rsid w:val="00B47564"/>
    <w:rsid w:val="00B50141"/>
    <w:rsid w:val="00B5034E"/>
    <w:rsid w:val="00B50DB4"/>
    <w:rsid w:val="00B52568"/>
    <w:rsid w:val="00B52F49"/>
    <w:rsid w:val="00B5542E"/>
    <w:rsid w:val="00B55D0D"/>
    <w:rsid w:val="00B564AD"/>
    <w:rsid w:val="00B569D2"/>
    <w:rsid w:val="00B56B5E"/>
    <w:rsid w:val="00B630E5"/>
    <w:rsid w:val="00B63DF0"/>
    <w:rsid w:val="00B640E1"/>
    <w:rsid w:val="00B642F1"/>
    <w:rsid w:val="00B64A01"/>
    <w:rsid w:val="00B75037"/>
    <w:rsid w:val="00B77C9F"/>
    <w:rsid w:val="00B8022E"/>
    <w:rsid w:val="00B803BC"/>
    <w:rsid w:val="00B81406"/>
    <w:rsid w:val="00B8238B"/>
    <w:rsid w:val="00B83809"/>
    <w:rsid w:val="00B83E68"/>
    <w:rsid w:val="00B84CF0"/>
    <w:rsid w:val="00B862FF"/>
    <w:rsid w:val="00B8746B"/>
    <w:rsid w:val="00B91541"/>
    <w:rsid w:val="00B91BDE"/>
    <w:rsid w:val="00B92925"/>
    <w:rsid w:val="00B929FD"/>
    <w:rsid w:val="00B9366B"/>
    <w:rsid w:val="00B9492D"/>
    <w:rsid w:val="00B95313"/>
    <w:rsid w:val="00B97359"/>
    <w:rsid w:val="00BA00E0"/>
    <w:rsid w:val="00BA1C0A"/>
    <w:rsid w:val="00BA1E83"/>
    <w:rsid w:val="00BB04C4"/>
    <w:rsid w:val="00BB23A7"/>
    <w:rsid w:val="00BB2800"/>
    <w:rsid w:val="00BB574D"/>
    <w:rsid w:val="00BB630D"/>
    <w:rsid w:val="00BB663B"/>
    <w:rsid w:val="00BB6663"/>
    <w:rsid w:val="00BB76E7"/>
    <w:rsid w:val="00BC0883"/>
    <w:rsid w:val="00BC0B03"/>
    <w:rsid w:val="00BC1F8D"/>
    <w:rsid w:val="00BC6885"/>
    <w:rsid w:val="00BD4691"/>
    <w:rsid w:val="00BD5023"/>
    <w:rsid w:val="00BD59DF"/>
    <w:rsid w:val="00BD5A32"/>
    <w:rsid w:val="00BD5AFB"/>
    <w:rsid w:val="00BD65AF"/>
    <w:rsid w:val="00BD7BB6"/>
    <w:rsid w:val="00BD7C71"/>
    <w:rsid w:val="00BE0802"/>
    <w:rsid w:val="00BE1E46"/>
    <w:rsid w:val="00BE24EE"/>
    <w:rsid w:val="00BE3A34"/>
    <w:rsid w:val="00BE3F04"/>
    <w:rsid w:val="00BF220E"/>
    <w:rsid w:val="00BF4E2D"/>
    <w:rsid w:val="00BF502F"/>
    <w:rsid w:val="00BF5063"/>
    <w:rsid w:val="00BF5783"/>
    <w:rsid w:val="00C0120F"/>
    <w:rsid w:val="00C01568"/>
    <w:rsid w:val="00C02235"/>
    <w:rsid w:val="00C04813"/>
    <w:rsid w:val="00C058AE"/>
    <w:rsid w:val="00C07527"/>
    <w:rsid w:val="00C10F51"/>
    <w:rsid w:val="00C1406A"/>
    <w:rsid w:val="00C1646B"/>
    <w:rsid w:val="00C164BB"/>
    <w:rsid w:val="00C17F37"/>
    <w:rsid w:val="00C21DCA"/>
    <w:rsid w:val="00C2218F"/>
    <w:rsid w:val="00C24699"/>
    <w:rsid w:val="00C2506B"/>
    <w:rsid w:val="00C26F11"/>
    <w:rsid w:val="00C275AC"/>
    <w:rsid w:val="00C31022"/>
    <w:rsid w:val="00C31C8C"/>
    <w:rsid w:val="00C31D6C"/>
    <w:rsid w:val="00C32D0B"/>
    <w:rsid w:val="00C32F22"/>
    <w:rsid w:val="00C338E8"/>
    <w:rsid w:val="00C33A68"/>
    <w:rsid w:val="00C34796"/>
    <w:rsid w:val="00C34C05"/>
    <w:rsid w:val="00C35894"/>
    <w:rsid w:val="00C359CD"/>
    <w:rsid w:val="00C36554"/>
    <w:rsid w:val="00C36564"/>
    <w:rsid w:val="00C40692"/>
    <w:rsid w:val="00C4151C"/>
    <w:rsid w:val="00C42BF1"/>
    <w:rsid w:val="00C436E5"/>
    <w:rsid w:val="00C454BA"/>
    <w:rsid w:val="00C45B22"/>
    <w:rsid w:val="00C45ED0"/>
    <w:rsid w:val="00C466C0"/>
    <w:rsid w:val="00C47487"/>
    <w:rsid w:val="00C504C6"/>
    <w:rsid w:val="00C523BE"/>
    <w:rsid w:val="00C53A02"/>
    <w:rsid w:val="00C53BF2"/>
    <w:rsid w:val="00C555EB"/>
    <w:rsid w:val="00C55D99"/>
    <w:rsid w:val="00C55E0F"/>
    <w:rsid w:val="00C567A0"/>
    <w:rsid w:val="00C57A10"/>
    <w:rsid w:val="00C60437"/>
    <w:rsid w:val="00C6292F"/>
    <w:rsid w:val="00C63989"/>
    <w:rsid w:val="00C63EA8"/>
    <w:rsid w:val="00C65EEC"/>
    <w:rsid w:val="00C6744F"/>
    <w:rsid w:val="00C67DD6"/>
    <w:rsid w:val="00C7106D"/>
    <w:rsid w:val="00C716D3"/>
    <w:rsid w:val="00C74278"/>
    <w:rsid w:val="00C7451D"/>
    <w:rsid w:val="00C748A1"/>
    <w:rsid w:val="00C749C0"/>
    <w:rsid w:val="00C74E36"/>
    <w:rsid w:val="00C7503B"/>
    <w:rsid w:val="00C81279"/>
    <w:rsid w:val="00C81912"/>
    <w:rsid w:val="00C8298C"/>
    <w:rsid w:val="00C82E10"/>
    <w:rsid w:val="00C85ABC"/>
    <w:rsid w:val="00C85D52"/>
    <w:rsid w:val="00C872D7"/>
    <w:rsid w:val="00C873E2"/>
    <w:rsid w:val="00C87EE4"/>
    <w:rsid w:val="00C90C94"/>
    <w:rsid w:val="00C9387D"/>
    <w:rsid w:val="00C949B4"/>
    <w:rsid w:val="00C94D16"/>
    <w:rsid w:val="00C95C69"/>
    <w:rsid w:val="00C95CCC"/>
    <w:rsid w:val="00C965A8"/>
    <w:rsid w:val="00C971A0"/>
    <w:rsid w:val="00C97A52"/>
    <w:rsid w:val="00CA196E"/>
    <w:rsid w:val="00CA2070"/>
    <w:rsid w:val="00CA2138"/>
    <w:rsid w:val="00CA2998"/>
    <w:rsid w:val="00CA2B38"/>
    <w:rsid w:val="00CA3CDC"/>
    <w:rsid w:val="00CA40EE"/>
    <w:rsid w:val="00CA5CF7"/>
    <w:rsid w:val="00CA62A5"/>
    <w:rsid w:val="00CB015B"/>
    <w:rsid w:val="00CB07D8"/>
    <w:rsid w:val="00CB2826"/>
    <w:rsid w:val="00CB2D78"/>
    <w:rsid w:val="00CB4373"/>
    <w:rsid w:val="00CB5634"/>
    <w:rsid w:val="00CB77A7"/>
    <w:rsid w:val="00CC0B05"/>
    <w:rsid w:val="00CC0F7E"/>
    <w:rsid w:val="00CC1928"/>
    <w:rsid w:val="00CC5FE3"/>
    <w:rsid w:val="00CC6EEA"/>
    <w:rsid w:val="00CC7707"/>
    <w:rsid w:val="00CC7E74"/>
    <w:rsid w:val="00CD044C"/>
    <w:rsid w:val="00CD12DF"/>
    <w:rsid w:val="00CD5A16"/>
    <w:rsid w:val="00CD5D1F"/>
    <w:rsid w:val="00CE06C4"/>
    <w:rsid w:val="00CE089D"/>
    <w:rsid w:val="00CE2DFF"/>
    <w:rsid w:val="00CE3F04"/>
    <w:rsid w:val="00CE4CF7"/>
    <w:rsid w:val="00CE59B6"/>
    <w:rsid w:val="00CE6B6E"/>
    <w:rsid w:val="00CE70D7"/>
    <w:rsid w:val="00CF0210"/>
    <w:rsid w:val="00CF3AF5"/>
    <w:rsid w:val="00CF46E6"/>
    <w:rsid w:val="00CF6338"/>
    <w:rsid w:val="00D01C0C"/>
    <w:rsid w:val="00D01FC7"/>
    <w:rsid w:val="00D038F8"/>
    <w:rsid w:val="00D0422A"/>
    <w:rsid w:val="00D07FDA"/>
    <w:rsid w:val="00D10207"/>
    <w:rsid w:val="00D10992"/>
    <w:rsid w:val="00D1160B"/>
    <w:rsid w:val="00D13728"/>
    <w:rsid w:val="00D169EF"/>
    <w:rsid w:val="00D16D28"/>
    <w:rsid w:val="00D17D99"/>
    <w:rsid w:val="00D20425"/>
    <w:rsid w:val="00D20610"/>
    <w:rsid w:val="00D2229B"/>
    <w:rsid w:val="00D23CF0"/>
    <w:rsid w:val="00D269B8"/>
    <w:rsid w:val="00D342A9"/>
    <w:rsid w:val="00D3489D"/>
    <w:rsid w:val="00D348BF"/>
    <w:rsid w:val="00D34D20"/>
    <w:rsid w:val="00D36A0F"/>
    <w:rsid w:val="00D370CC"/>
    <w:rsid w:val="00D43167"/>
    <w:rsid w:val="00D43617"/>
    <w:rsid w:val="00D43DD2"/>
    <w:rsid w:val="00D47542"/>
    <w:rsid w:val="00D477D7"/>
    <w:rsid w:val="00D47F0B"/>
    <w:rsid w:val="00D50106"/>
    <w:rsid w:val="00D51A45"/>
    <w:rsid w:val="00D51C49"/>
    <w:rsid w:val="00D530F6"/>
    <w:rsid w:val="00D53DAC"/>
    <w:rsid w:val="00D54459"/>
    <w:rsid w:val="00D54B9B"/>
    <w:rsid w:val="00D5523E"/>
    <w:rsid w:val="00D5664A"/>
    <w:rsid w:val="00D61CDF"/>
    <w:rsid w:val="00D62295"/>
    <w:rsid w:val="00D64820"/>
    <w:rsid w:val="00D674DD"/>
    <w:rsid w:val="00D67891"/>
    <w:rsid w:val="00D70ED5"/>
    <w:rsid w:val="00D70F8D"/>
    <w:rsid w:val="00D716A7"/>
    <w:rsid w:val="00D729C8"/>
    <w:rsid w:val="00D73655"/>
    <w:rsid w:val="00D7406E"/>
    <w:rsid w:val="00D7428A"/>
    <w:rsid w:val="00D7501B"/>
    <w:rsid w:val="00D751C1"/>
    <w:rsid w:val="00D76F3F"/>
    <w:rsid w:val="00D82D0A"/>
    <w:rsid w:val="00D82E75"/>
    <w:rsid w:val="00D83881"/>
    <w:rsid w:val="00D83C08"/>
    <w:rsid w:val="00D906D0"/>
    <w:rsid w:val="00D909CE"/>
    <w:rsid w:val="00D91BA6"/>
    <w:rsid w:val="00D92A75"/>
    <w:rsid w:val="00D92C8F"/>
    <w:rsid w:val="00D94C1A"/>
    <w:rsid w:val="00D96774"/>
    <w:rsid w:val="00DA0668"/>
    <w:rsid w:val="00DA1DC3"/>
    <w:rsid w:val="00DA2059"/>
    <w:rsid w:val="00DA31F6"/>
    <w:rsid w:val="00DA3A8C"/>
    <w:rsid w:val="00DA430A"/>
    <w:rsid w:val="00DA78DD"/>
    <w:rsid w:val="00DB14F0"/>
    <w:rsid w:val="00DB1691"/>
    <w:rsid w:val="00DB3315"/>
    <w:rsid w:val="00DB3F40"/>
    <w:rsid w:val="00DB44B1"/>
    <w:rsid w:val="00DB5E90"/>
    <w:rsid w:val="00DB73C5"/>
    <w:rsid w:val="00DC0B5E"/>
    <w:rsid w:val="00DC0C68"/>
    <w:rsid w:val="00DC2205"/>
    <w:rsid w:val="00DC4456"/>
    <w:rsid w:val="00DC496D"/>
    <w:rsid w:val="00DC6B42"/>
    <w:rsid w:val="00DD27B3"/>
    <w:rsid w:val="00DD2E57"/>
    <w:rsid w:val="00DD36DD"/>
    <w:rsid w:val="00DD3D9F"/>
    <w:rsid w:val="00DD4A24"/>
    <w:rsid w:val="00DD57C5"/>
    <w:rsid w:val="00DE280C"/>
    <w:rsid w:val="00DE2CCA"/>
    <w:rsid w:val="00DF0132"/>
    <w:rsid w:val="00DF10FC"/>
    <w:rsid w:val="00DF1BBC"/>
    <w:rsid w:val="00DF2BA1"/>
    <w:rsid w:val="00DF2DE2"/>
    <w:rsid w:val="00DF3C76"/>
    <w:rsid w:val="00DF523F"/>
    <w:rsid w:val="00DF5F73"/>
    <w:rsid w:val="00DF7C7D"/>
    <w:rsid w:val="00E0267A"/>
    <w:rsid w:val="00E02F8D"/>
    <w:rsid w:val="00E06832"/>
    <w:rsid w:val="00E0784D"/>
    <w:rsid w:val="00E07D7A"/>
    <w:rsid w:val="00E105B6"/>
    <w:rsid w:val="00E10905"/>
    <w:rsid w:val="00E10E26"/>
    <w:rsid w:val="00E12E4C"/>
    <w:rsid w:val="00E15A77"/>
    <w:rsid w:val="00E1688B"/>
    <w:rsid w:val="00E20B2C"/>
    <w:rsid w:val="00E2127A"/>
    <w:rsid w:val="00E23819"/>
    <w:rsid w:val="00E23A6F"/>
    <w:rsid w:val="00E24895"/>
    <w:rsid w:val="00E25CF0"/>
    <w:rsid w:val="00E25E50"/>
    <w:rsid w:val="00E30DEC"/>
    <w:rsid w:val="00E3125D"/>
    <w:rsid w:val="00E314FC"/>
    <w:rsid w:val="00E3184E"/>
    <w:rsid w:val="00E333C7"/>
    <w:rsid w:val="00E34804"/>
    <w:rsid w:val="00E367AD"/>
    <w:rsid w:val="00E374AA"/>
    <w:rsid w:val="00E40783"/>
    <w:rsid w:val="00E42061"/>
    <w:rsid w:val="00E42734"/>
    <w:rsid w:val="00E42EAA"/>
    <w:rsid w:val="00E44EC1"/>
    <w:rsid w:val="00E52E97"/>
    <w:rsid w:val="00E60B57"/>
    <w:rsid w:val="00E642CB"/>
    <w:rsid w:val="00E649EE"/>
    <w:rsid w:val="00E654A5"/>
    <w:rsid w:val="00E67002"/>
    <w:rsid w:val="00E67D68"/>
    <w:rsid w:val="00E706A3"/>
    <w:rsid w:val="00E714C2"/>
    <w:rsid w:val="00E72E85"/>
    <w:rsid w:val="00E72F1F"/>
    <w:rsid w:val="00E74A06"/>
    <w:rsid w:val="00E779F5"/>
    <w:rsid w:val="00E77E05"/>
    <w:rsid w:val="00E80470"/>
    <w:rsid w:val="00E822F7"/>
    <w:rsid w:val="00E82D9D"/>
    <w:rsid w:val="00E87670"/>
    <w:rsid w:val="00E9035E"/>
    <w:rsid w:val="00E91050"/>
    <w:rsid w:val="00E91E44"/>
    <w:rsid w:val="00E923B0"/>
    <w:rsid w:val="00E96F12"/>
    <w:rsid w:val="00EA074E"/>
    <w:rsid w:val="00EA2904"/>
    <w:rsid w:val="00EA3A16"/>
    <w:rsid w:val="00EA3E65"/>
    <w:rsid w:val="00EA5290"/>
    <w:rsid w:val="00EA5638"/>
    <w:rsid w:val="00EB0A87"/>
    <w:rsid w:val="00EB0CD8"/>
    <w:rsid w:val="00EB12BD"/>
    <w:rsid w:val="00EB1D01"/>
    <w:rsid w:val="00EB2948"/>
    <w:rsid w:val="00EB36B8"/>
    <w:rsid w:val="00EB3E36"/>
    <w:rsid w:val="00EB5151"/>
    <w:rsid w:val="00EB6102"/>
    <w:rsid w:val="00EB70D6"/>
    <w:rsid w:val="00EB7A69"/>
    <w:rsid w:val="00EC582E"/>
    <w:rsid w:val="00ED0B9B"/>
    <w:rsid w:val="00ED24B5"/>
    <w:rsid w:val="00ED2728"/>
    <w:rsid w:val="00ED5576"/>
    <w:rsid w:val="00EE0EB8"/>
    <w:rsid w:val="00EE0F5D"/>
    <w:rsid w:val="00EE19BB"/>
    <w:rsid w:val="00EE1AF1"/>
    <w:rsid w:val="00EE26CC"/>
    <w:rsid w:val="00EE359B"/>
    <w:rsid w:val="00EE35E8"/>
    <w:rsid w:val="00EE4A6E"/>
    <w:rsid w:val="00EE4B7D"/>
    <w:rsid w:val="00EE55A8"/>
    <w:rsid w:val="00EE7F71"/>
    <w:rsid w:val="00EF04B0"/>
    <w:rsid w:val="00EF10A2"/>
    <w:rsid w:val="00EF2000"/>
    <w:rsid w:val="00EF3158"/>
    <w:rsid w:val="00EF3F0B"/>
    <w:rsid w:val="00EF5893"/>
    <w:rsid w:val="00EF6ACE"/>
    <w:rsid w:val="00EF6E89"/>
    <w:rsid w:val="00EF705E"/>
    <w:rsid w:val="00EF7529"/>
    <w:rsid w:val="00EF785E"/>
    <w:rsid w:val="00EF7CD4"/>
    <w:rsid w:val="00F00170"/>
    <w:rsid w:val="00F03BB3"/>
    <w:rsid w:val="00F047AD"/>
    <w:rsid w:val="00F059B8"/>
    <w:rsid w:val="00F059F8"/>
    <w:rsid w:val="00F05C54"/>
    <w:rsid w:val="00F07A78"/>
    <w:rsid w:val="00F11FF9"/>
    <w:rsid w:val="00F1239A"/>
    <w:rsid w:val="00F12603"/>
    <w:rsid w:val="00F12AF8"/>
    <w:rsid w:val="00F131C5"/>
    <w:rsid w:val="00F13AAB"/>
    <w:rsid w:val="00F13E74"/>
    <w:rsid w:val="00F15200"/>
    <w:rsid w:val="00F1677C"/>
    <w:rsid w:val="00F171E1"/>
    <w:rsid w:val="00F203B2"/>
    <w:rsid w:val="00F21A79"/>
    <w:rsid w:val="00F27321"/>
    <w:rsid w:val="00F30B44"/>
    <w:rsid w:val="00F31173"/>
    <w:rsid w:val="00F3142C"/>
    <w:rsid w:val="00F31496"/>
    <w:rsid w:val="00F31A02"/>
    <w:rsid w:val="00F321AD"/>
    <w:rsid w:val="00F35837"/>
    <w:rsid w:val="00F40A96"/>
    <w:rsid w:val="00F410A4"/>
    <w:rsid w:val="00F42A80"/>
    <w:rsid w:val="00F43446"/>
    <w:rsid w:val="00F439D2"/>
    <w:rsid w:val="00F44FCB"/>
    <w:rsid w:val="00F452B1"/>
    <w:rsid w:val="00F50D58"/>
    <w:rsid w:val="00F529E4"/>
    <w:rsid w:val="00F5434B"/>
    <w:rsid w:val="00F56014"/>
    <w:rsid w:val="00F61833"/>
    <w:rsid w:val="00F62063"/>
    <w:rsid w:val="00F62543"/>
    <w:rsid w:val="00F62719"/>
    <w:rsid w:val="00F62736"/>
    <w:rsid w:val="00F641C5"/>
    <w:rsid w:val="00F65475"/>
    <w:rsid w:val="00F725D0"/>
    <w:rsid w:val="00F75284"/>
    <w:rsid w:val="00F75724"/>
    <w:rsid w:val="00F75BE7"/>
    <w:rsid w:val="00F765E2"/>
    <w:rsid w:val="00F80402"/>
    <w:rsid w:val="00F8132E"/>
    <w:rsid w:val="00F8136A"/>
    <w:rsid w:val="00F83C96"/>
    <w:rsid w:val="00F85851"/>
    <w:rsid w:val="00F87607"/>
    <w:rsid w:val="00F878CC"/>
    <w:rsid w:val="00F90A70"/>
    <w:rsid w:val="00F90F43"/>
    <w:rsid w:val="00F9209B"/>
    <w:rsid w:val="00F968EA"/>
    <w:rsid w:val="00F96F9F"/>
    <w:rsid w:val="00FA1082"/>
    <w:rsid w:val="00FA1239"/>
    <w:rsid w:val="00FA232C"/>
    <w:rsid w:val="00FA29A0"/>
    <w:rsid w:val="00FA32FD"/>
    <w:rsid w:val="00FA4BBA"/>
    <w:rsid w:val="00FA4D64"/>
    <w:rsid w:val="00FA643C"/>
    <w:rsid w:val="00FA7117"/>
    <w:rsid w:val="00FA746A"/>
    <w:rsid w:val="00FB18DD"/>
    <w:rsid w:val="00FB5045"/>
    <w:rsid w:val="00FB5B0E"/>
    <w:rsid w:val="00FB7CE9"/>
    <w:rsid w:val="00FC131B"/>
    <w:rsid w:val="00FC1748"/>
    <w:rsid w:val="00FC27B9"/>
    <w:rsid w:val="00FC3B55"/>
    <w:rsid w:val="00FC4D99"/>
    <w:rsid w:val="00FC4DE6"/>
    <w:rsid w:val="00FC54C5"/>
    <w:rsid w:val="00FC6501"/>
    <w:rsid w:val="00FC6B56"/>
    <w:rsid w:val="00FC7BC1"/>
    <w:rsid w:val="00FC7CEA"/>
    <w:rsid w:val="00FC7D69"/>
    <w:rsid w:val="00FD091D"/>
    <w:rsid w:val="00FD0D53"/>
    <w:rsid w:val="00FD110C"/>
    <w:rsid w:val="00FD12F9"/>
    <w:rsid w:val="00FD2560"/>
    <w:rsid w:val="00FD471E"/>
    <w:rsid w:val="00FD4752"/>
    <w:rsid w:val="00FD4CA4"/>
    <w:rsid w:val="00FD698D"/>
    <w:rsid w:val="00FD6991"/>
    <w:rsid w:val="00FD7367"/>
    <w:rsid w:val="00FD7BA9"/>
    <w:rsid w:val="00FE0075"/>
    <w:rsid w:val="00FE0133"/>
    <w:rsid w:val="00FE12B5"/>
    <w:rsid w:val="00FE3612"/>
    <w:rsid w:val="00FE40C0"/>
    <w:rsid w:val="00FE58C8"/>
    <w:rsid w:val="00FE5FA6"/>
    <w:rsid w:val="00FE68F4"/>
    <w:rsid w:val="00FE7B7F"/>
    <w:rsid w:val="00FF3758"/>
    <w:rsid w:val="00FF3D35"/>
    <w:rsid w:val="00FF402B"/>
    <w:rsid w:val="00FF553A"/>
    <w:rsid w:val="00FF6001"/>
    <w:rsid w:val="00FF61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BFDDA"/>
  <w15:docId w15:val="{C1EE3076-22A5-4AD3-B3DE-1C526528E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877B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07E5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907E5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D34D20"/>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90C94"/>
    <w:pPr>
      <w:ind w:left="720"/>
      <w:contextualSpacing/>
    </w:pPr>
  </w:style>
  <w:style w:type="character" w:styleId="PlaceholderText">
    <w:name w:val="Placeholder Text"/>
    <w:basedOn w:val="DefaultParagraphFont"/>
    <w:uiPriority w:val="99"/>
    <w:semiHidden/>
    <w:rsid w:val="00C1406A"/>
    <w:rPr>
      <w:color w:val="808080"/>
    </w:rPr>
  </w:style>
  <w:style w:type="character" w:customStyle="1" w:styleId="Heading1Char">
    <w:name w:val="Heading 1 Char"/>
    <w:basedOn w:val="DefaultParagraphFont"/>
    <w:link w:val="Heading1"/>
    <w:uiPriority w:val="9"/>
    <w:rsid w:val="000877B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907E52"/>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907E52"/>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unhideWhenUsed/>
    <w:rsid w:val="000C041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C58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582E"/>
    <w:rPr>
      <w:rFonts w:ascii="Segoe UI" w:hAnsi="Segoe UI" w:cs="Segoe UI"/>
      <w:sz w:val="18"/>
      <w:szCs w:val="18"/>
    </w:rPr>
  </w:style>
  <w:style w:type="character" w:styleId="CommentReference">
    <w:name w:val="annotation reference"/>
    <w:basedOn w:val="DefaultParagraphFont"/>
    <w:uiPriority w:val="99"/>
    <w:semiHidden/>
    <w:unhideWhenUsed/>
    <w:rsid w:val="00190979"/>
    <w:rPr>
      <w:sz w:val="16"/>
      <w:szCs w:val="16"/>
    </w:rPr>
  </w:style>
  <w:style w:type="paragraph" w:styleId="CommentText">
    <w:name w:val="annotation text"/>
    <w:basedOn w:val="Normal"/>
    <w:link w:val="CommentTextChar"/>
    <w:uiPriority w:val="99"/>
    <w:unhideWhenUsed/>
    <w:rsid w:val="00190979"/>
    <w:pPr>
      <w:spacing w:line="240" w:lineRule="auto"/>
    </w:pPr>
    <w:rPr>
      <w:sz w:val="20"/>
      <w:szCs w:val="20"/>
    </w:rPr>
  </w:style>
  <w:style w:type="character" w:customStyle="1" w:styleId="CommentTextChar">
    <w:name w:val="Comment Text Char"/>
    <w:basedOn w:val="DefaultParagraphFont"/>
    <w:link w:val="CommentText"/>
    <w:uiPriority w:val="99"/>
    <w:rsid w:val="00190979"/>
    <w:rPr>
      <w:sz w:val="20"/>
      <w:szCs w:val="20"/>
    </w:rPr>
  </w:style>
  <w:style w:type="paragraph" w:styleId="FootnoteText">
    <w:name w:val="footnote text"/>
    <w:basedOn w:val="Normal"/>
    <w:link w:val="FootnoteTextChar"/>
    <w:uiPriority w:val="99"/>
    <w:semiHidden/>
    <w:unhideWhenUsed/>
    <w:rsid w:val="001909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0979"/>
    <w:rPr>
      <w:sz w:val="20"/>
      <w:szCs w:val="20"/>
    </w:rPr>
  </w:style>
  <w:style w:type="character" w:styleId="FootnoteReference">
    <w:name w:val="footnote reference"/>
    <w:basedOn w:val="DefaultParagraphFont"/>
    <w:uiPriority w:val="99"/>
    <w:semiHidden/>
    <w:unhideWhenUsed/>
    <w:rsid w:val="00190979"/>
    <w:rPr>
      <w:vertAlign w:val="superscript"/>
    </w:rPr>
  </w:style>
  <w:style w:type="paragraph" w:styleId="Header">
    <w:name w:val="header"/>
    <w:basedOn w:val="Normal"/>
    <w:link w:val="HeaderChar"/>
    <w:uiPriority w:val="99"/>
    <w:unhideWhenUsed/>
    <w:rsid w:val="00F529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529E4"/>
  </w:style>
  <w:style w:type="paragraph" w:styleId="Footer">
    <w:name w:val="footer"/>
    <w:basedOn w:val="Normal"/>
    <w:link w:val="FooterChar"/>
    <w:uiPriority w:val="99"/>
    <w:unhideWhenUsed/>
    <w:rsid w:val="00F529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29E4"/>
  </w:style>
  <w:style w:type="character" w:styleId="IntenseReference">
    <w:name w:val="Intense Reference"/>
    <w:basedOn w:val="DefaultParagraphFont"/>
    <w:uiPriority w:val="32"/>
    <w:qFormat/>
    <w:rsid w:val="006F2819"/>
    <w:rPr>
      <w:b/>
      <w:bCs/>
      <w:smallCaps/>
      <w:color w:val="4F81BD" w:themeColor="accent1"/>
      <w:spacing w:val="5"/>
    </w:rPr>
  </w:style>
  <w:style w:type="character" w:styleId="IntenseEmphasis">
    <w:name w:val="Intense Emphasis"/>
    <w:basedOn w:val="DefaultParagraphFont"/>
    <w:uiPriority w:val="21"/>
    <w:qFormat/>
    <w:rsid w:val="006F2819"/>
    <w:rPr>
      <w:i/>
      <w:iCs/>
      <w:color w:val="4F81BD" w:themeColor="accent1"/>
    </w:rPr>
  </w:style>
  <w:style w:type="table" w:styleId="TableGrid">
    <w:name w:val="Table Grid"/>
    <w:basedOn w:val="TableNormal"/>
    <w:uiPriority w:val="39"/>
    <w:rsid w:val="006561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E3A34"/>
    <w:rPr>
      <w:b/>
      <w:bCs/>
    </w:rPr>
  </w:style>
  <w:style w:type="character" w:customStyle="1" w:styleId="CommentSubjectChar">
    <w:name w:val="Comment Subject Char"/>
    <w:basedOn w:val="CommentTextChar"/>
    <w:link w:val="CommentSubject"/>
    <w:uiPriority w:val="99"/>
    <w:semiHidden/>
    <w:rsid w:val="00BE3A34"/>
    <w:rPr>
      <w:b/>
      <w:bCs/>
      <w:sz w:val="20"/>
      <w:szCs w:val="20"/>
    </w:rPr>
  </w:style>
  <w:style w:type="paragraph" w:styleId="Revision">
    <w:name w:val="Revision"/>
    <w:hidden/>
    <w:uiPriority w:val="99"/>
    <w:semiHidden/>
    <w:rsid w:val="00BE3A34"/>
    <w:pPr>
      <w:spacing w:after="0" w:line="240" w:lineRule="auto"/>
    </w:pPr>
  </w:style>
  <w:style w:type="character" w:styleId="LineNumber">
    <w:name w:val="line number"/>
    <w:basedOn w:val="DefaultParagraphFont"/>
    <w:uiPriority w:val="99"/>
    <w:semiHidden/>
    <w:unhideWhenUsed/>
    <w:rsid w:val="00A3798C"/>
  </w:style>
  <w:style w:type="character" w:customStyle="1" w:styleId="Heading4Char">
    <w:name w:val="Heading 4 Char"/>
    <w:basedOn w:val="DefaultParagraphFont"/>
    <w:link w:val="Heading4"/>
    <w:uiPriority w:val="9"/>
    <w:rsid w:val="00D34D20"/>
    <w:rPr>
      <w:rFonts w:asciiTheme="majorHAnsi" w:eastAsiaTheme="majorEastAsia" w:hAnsiTheme="majorHAnsi" w:cstheme="majorBidi"/>
      <w:i/>
      <w:iCs/>
      <w:color w:val="365F91" w:themeColor="accent1" w:themeShade="BF"/>
    </w:rPr>
  </w:style>
  <w:style w:type="paragraph" w:styleId="Title">
    <w:name w:val="Title"/>
    <w:basedOn w:val="Normal"/>
    <w:next w:val="Normal"/>
    <w:link w:val="TitleChar"/>
    <w:uiPriority w:val="10"/>
    <w:qFormat/>
    <w:rsid w:val="0033401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34019"/>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F12AF8"/>
    <w:rPr>
      <w:color w:val="0000FF" w:themeColor="hyperlink"/>
      <w:u w:val="single"/>
    </w:rPr>
  </w:style>
  <w:style w:type="character" w:styleId="FollowedHyperlink">
    <w:name w:val="FollowedHyperlink"/>
    <w:basedOn w:val="DefaultParagraphFont"/>
    <w:uiPriority w:val="99"/>
    <w:semiHidden/>
    <w:unhideWhenUsed/>
    <w:rsid w:val="00F12AF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38207">
      <w:bodyDiv w:val="1"/>
      <w:marLeft w:val="0"/>
      <w:marRight w:val="0"/>
      <w:marTop w:val="0"/>
      <w:marBottom w:val="0"/>
      <w:divBdr>
        <w:top w:val="none" w:sz="0" w:space="0" w:color="auto"/>
        <w:left w:val="none" w:sz="0" w:space="0" w:color="auto"/>
        <w:bottom w:val="none" w:sz="0" w:space="0" w:color="auto"/>
        <w:right w:val="none" w:sz="0" w:space="0" w:color="auto"/>
      </w:divBdr>
    </w:div>
    <w:div w:id="41563216">
      <w:bodyDiv w:val="1"/>
      <w:marLeft w:val="0"/>
      <w:marRight w:val="0"/>
      <w:marTop w:val="0"/>
      <w:marBottom w:val="0"/>
      <w:divBdr>
        <w:top w:val="none" w:sz="0" w:space="0" w:color="auto"/>
        <w:left w:val="none" w:sz="0" w:space="0" w:color="auto"/>
        <w:bottom w:val="none" w:sz="0" w:space="0" w:color="auto"/>
        <w:right w:val="none" w:sz="0" w:space="0" w:color="auto"/>
      </w:divBdr>
    </w:div>
    <w:div w:id="101920690">
      <w:bodyDiv w:val="1"/>
      <w:marLeft w:val="0"/>
      <w:marRight w:val="0"/>
      <w:marTop w:val="0"/>
      <w:marBottom w:val="0"/>
      <w:divBdr>
        <w:top w:val="none" w:sz="0" w:space="0" w:color="auto"/>
        <w:left w:val="none" w:sz="0" w:space="0" w:color="auto"/>
        <w:bottom w:val="none" w:sz="0" w:space="0" w:color="auto"/>
        <w:right w:val="none" w:sz="0" w:space="0" w:color="auto"/>
      </w:divBdr>
    </w:div>
    <w:div w:id="112360670">
      <w:bodyDiv w:val="1"/>
      <w:marLeft w:val="0"/>
      <w:marRight w:val="0"/>
      <w:marTop w:val="0"/>
      <w:marBottom w:val="0"/>
      <w:divBdr>
        <w:top w:val="none" w:sz="0" w:space="0" w:color="auto"/>
        <w:left w:val="none" w:sz="0" w:space="0" w:color="auto"/>
        <w:bottom w:val="none" w:sz="0" w:space="0" w:color="auto"/>
        <w:right w:val="none" w:sz="0" w:space="0" w:color="auto"/>
      </w:divBdr>
    </w:div>
    <w:div w:id="195234524">
      <w:bodyDiv w:val="1"/>
      <w:marLeft w:val="0"/>
      <w:marRight w:val="0"/>
      <w:marTop w:val="0"/>
      <w:marBottom w:val="0"/>
      <w:divBdr>
        <w:top w:val="none" w:sz="0" w:space="0" w:color="auto"/>
        <w:left w:val="none" w:sz="0" w:space="0" w:color="auto"/>
        <w:bottom w:val="none" w:sz="0" w:space="0" w:color="auto"/>
        <w:right w:val="none" w:sz="0" w:space="0" w:color="auto"/>
      </w:divBdr>
    </w:div>
    <w:div w:id="255601273">
      <w:bodyDiv w:val="1"/>
      <w:marLeft w:val="0"/>
      <w:marRight w:val="0"/>
      <w:marTop w:val="0"/>
      <w:marBottom w:val="0"/>
      <w:divBdr>
        <w:top w:val="none" w:sz="0" w:space="0" w:color="auto"/>
        <w:left w:val="none" w:sz="0" w:space="0" w:color="auto"/>
        <w:bottom w:val="none" w:sz="0" w:space="0" w:color="auto"/>
        <w:right w:val="none" w:sz="0" w:space="0" w:color="auto"/>
      </w:divBdr>
    </w:div>
    <w:div w:id="624390609">
      <w:bodyDiv w:val="1"/>
      <w:marLeft w:val="0"/>
      <w:marRight w:val="0"/>
      <w:marTop w:val="0"/>
      <w:marBottom w:val="0"/>
      <w:divBdr>
        <w:top w:val="none" w:sz="0" w:space="0" w:color="auto"/>
        <w:left w:val="none" w:sz="0" w:space="0" w:color="auto"/>
        <w:bottom w:val="none" w:sz="0" w:space="0" w:color="auto"/>
        <w:right w:val="none" w:sz="0" w:space="0" w:color="auto"/>
      </w:divBdr>
    </w:div>
    <w:div w:id="732121054">
      <w:bodyDiv w:val="1"/>
      <w:marLeft w:val="0"/>
      <w:marRight w:val="0"/>
      <w:marTop w:val="0"/>
      <w:marBottom w:val="0"/>
      <w:divBdr>
        <w:top w:val="none" w:sz="0" w:space="0" w:color="auto"/>
        <w:left w:val="none" w:sz="0" w:space="0" w:color="auto"/>
        <w:bottom w:val="none" w:sz="0" w:space="0" w:color="auto"/>
        <w:right w:val="none" w:sz="0" w:space="0" w:color="auto"/>
      </w:divBdr>
    </w:div>
    <w:div w:id="790706930">
      <w:bodyDiv w:val="1"/>
      <w:marLeft w:val="0"/>
      <w:marRight w:val="0"/>
      <w:marTop w:val="0"/>
      <w:marBottom w:val="0"/>
      <w:divBdr>
        <w:top w:val="none" w:sz="0" w:space="0" w:color="auto"/>
        <w:left w:val="none" w:sz="0" w:space="0" w:color="auto"/>
        <w:bottom w:val="none" w:sz="0" w:space="0" w:color="auto"/>
        <w:right w:val="none" w:sz="0" w:space="0" w:color="auto"/>
      </w:divBdr>
      <w:divsChild>
        <w:div w:id="455485771">
          <w:marLeft w:val="0"/>
          <w:marRight w:val="0"/>
          <w:marTop w:val="0"/>
          <w:marBottom w:val="0"/>
          <w:divBdr>
            <w:top w:val="none" w:sz="0" w:space="0" w:color="auto"/>
            <w:left w:val="none" w:sz="0" w:space="0" w:color="auto"/>
            <w:bottom w:val="none" w:sz="0" w:space="0" w:color="auto"/>
            <w:right w:val="none" w:sz="0" w:space="0" w:color="auto"/>
          </w:divBdr>
          <w:divsChild>
            <w:div w:id="910969215">
              <w:marLeft w:val="0"/>
              <w:marRight w:val="0"/>
              <w:marTop w:val="0"/>
              <w:marBottom w:val="0"/>
              <w:divBdr>
                <w:top w:val="none" w:sz="0" w:space="0" w:color="auto"/>
                <w:left w:val="none" w:sz="0" w:space="0" w:color="auto"/>
                <w:bottom w:val="none" w:sz="0" w:space="0" w:color="auto"/>
                <w:right w:val="none" w:sz="0" w:space="0" w:color="auto"/>
              </w:divBdr>
              <w:divsChild>
                <w:div w:id="1852446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208840">
      <w:bodyDiv w:val="1"/>
      <w:marLeft w:val="0"/>
      <w:marRight w:val="0"/>
      <w:marTop w:val="0"/>
      <w:marBottom w:val="0"/>
      <w:divBdr>
        <w:top w:val="none" w:sz="0" w:space="0" w:color="auto"/>
        <w:left w:val="none" w:sz="0" w:space="0" w:color="auto"/>
        <w:bottom w:val="none" w:sz="0" w:space="0" w:color="auto"/>
        <w:right w:val="none" w:sz="0" w:space="0" w:color="auto"/>
      </w:divBdr>
      <w:divsChild>
        <w:div w:id="2129542660">
          <w:marLeft w:val="0"/>
          <w:marRight w:val="0"/>
          <w:marTop w:val="0"/>
          <w:marBottom w:val="0"/>
          <w:divBdr>
            <w:top w:val="none" w:sz="0" w:space="0" w:color="auto"/>
            <w:left w:val="none" w:sz="0" w:space="0" w:color="auto"/>
            <w:bottom w:val="none" w:sz="0" w:space="0" w:color="auto"/>
            <w:right w:val="none" w:sz="0" w:space="0" w:color="auto"/>
          </w:divBdr>
          <w:divsChild>
            <w:div w:id="732848562">
              <w:marLeft w:val="0"/>
              <w:marRight w:val="0"/>
              <w:marTop w:val="0"/>
              <w:marBottom w:val="0"/>
              <w:divBdr>
                <w:top w:val="none" w:sz="0" w:space="0" w:color="auto"/>
                <w:left w:val="none" w:sz="0" w:space="0" w:color="auto"/>
                <w:bottom w:val="none" w:sz="0" w:space="0" w:color="auto"/>
                <w:right w:val="none" w:sz="0" w:space="0" w:color="auto"/>
              </w:divBdr>
              <w:divsChild>
                <w:div w:id="161278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654364">
      <w:bodyDiv w:val="1"/>
      <w:marLeft w:val="0"/>
      <w:marRight w:val="0"/>
      <w:marTop w:val="0"/>
      <w:marBottom w:val="0"/>
      <w:divBdr>
        <w:top w:val="none" w:sz="0" w:space="0" w:color="auto"/>
        <w:left w:val="none" w:sz="0" w:space="0" w:color="auto"/>
        <w:bottom w:val="none" w:sz="0" w:space="0" w:color="auto"/>
        <w:right w:val="none" w:sz="0" w:space="0" w:color="auto"/>
      </w:divBdr>
    </w:div>
    <w:div w:id="1180241641">
      <w:bodyDiv w:val="1"/>
      <w:marLeft w:val="0"/>
      <w:marRight w:val="0"/>
      <w:marTop w:val="0"/>
      <w:marBottom w:val="0"/>
      <w:divBdr>
        <w:top w:val="none" w:sz="0" w:space="0" w:color="auto"/>
        <w:left w:val="none" w:sz="0" w:space="0" w:color="auto"/>
        <w:bottom w:val="none" w:sz="0" w:space="0" w:color="auto"/>
        <w:right w:val="none" w:sz="0" w:space="0" w:color="auto"/>
      </w:divBdr>
    </w:div>
    <w:div w:id="1180703818">
      <w:bodyDiv w:val="1"/>
      <w:marLeft w:val="0"/>
      <w:marRight w:val="0"/>
      <w:marTop w:val="0"/>
      <w:marBottom w:val="0"/>
      <w:divBdr>
        <w:top w:val="none" w:sz="0" w:space="0" w:color="auto"/>
        <w:left w:val="none" w:sz="0" w:space="0" w:color="auto"/>
        <w:bottom w:val="none" w:sz="0" w:space="0" w:color="auto"/>
        <w:right w:val="none" w:sz="0" w:space="0" w:color="auto"/>
      </w:divBdr>
    </w:div>
    <w:div w:id="1280799637">
      <w:bodyDiv w:val="1"/>
      <w:marLeft w:val="0"/>
      <w:marRight w:val="0"/>
      <w:marTop w:val="0"/>
      <w:marBottom w:val="0"/>
      <w:divBdr>
        <w:top w:val="none" w:sz="0" w:space="0" w:color="auto"/>
        <w:left w:val="none" w:sz="0" w:space="0" w:color="auto"/>
        <w:bottom w:val="none" w:sz="0" w:space="0" w:color="auto"/>
        <w:right w:val="none" w:sz="0" w:space="0" w:color="auto"/>
      </w:divBdr>
    </w:div>
    <w:div w:id="1497725284">
      <w:bodyDiv w:val="1"/>
      <w:marLeft w:val="0"/>
      <w:marRight w:val="0"/>
      <w:marTop w:val="0"/>
      <w:marBottom w:val="0"/>
      <w:divBdr>
        <w:top w:val="none" w:sz="0" w:space="0" w:color="auto"/>
        <w:left w:val="none" w:sz="0" w:space="0" w:color="auto"/>
        <w:bottom w:val="none" w:sz="0" w:space="0" w:color="auto"/>
        <w:right w:val="none" w:sz="0" w:space="0" w:color="auto"/>
      </w:divBdr>
    </w:div>
    <w:div w:id="1602178206">
      <w:bodyDiv w:val="1"/>
      <w:marLeft w:val="0"/>
      <w:marRight w:val="0"/>
      <w:marTop w:val="0"/>
      <w:marBottom w:val="0"/>
      <w:divBdr>
        <w:top w:val="none" w:sz="0" w:space="0" w:color="auto"/>
        <w:left w:val="none" w:sz="0" w:space="0" w:color="auto"/>
        <w:bottom w:val="none" w:sz="0" w:space="0" w:color="auto"/>
        <w:right w:val="none" w:sz="0" w:space="0" w:color="auto"/>
      </w:divBdr>
    </w:div>
    <w:div w:id="1853912308">
      <w:bodyDiv w:val="1"/>
      <w:marLeft w:val="0"/>
      <w:marRight w:val="0"/>
      <w:marTop w:val="0"/>
      <w:marBottom w:val="0"/>
      <w:divBdr>
        <w:top w:val="none" w:sz="0" w:space="0" w:color="auto"/>
        <w:left w:val="none" w:sz="0" w:space="0" w:color="auto"/>
        <w:bottom w:val="none" w:sz="0" w:space="0" w:color="auto"/>
        <w:right w:val="none" w:sz="0" w:space="0" w:color="auto"/>
      </w:divBdr>
    </w:div>
    <w:div w:id="1916819223">
      <w:bodyDiv w:val="1"/>
      <w:marLeft w:val="0"/>
      <w:marRight w:val="0"/>
      <w:marTop w:val="0"/>
      <w:marBottom w:val="0"/>
      <w:divBdr>
        <w:top w:val="none" w:sz="0" w:space="0" w:color="auto"/>
        <w:left w:val="none" w:sz="0" w:space="0" w:color="auto"/>
        <w:bottom w:val="none" w:sz="0" w:space="0" w:color="auto"/>
        <w:right w:val="none" w:sz="0" w:space="0" w:color="auto"/>
      </w:divBdr>
    </w:div>
    <w:div w:id="1971127407">
      <w:bodyDiv w:val="1"/>
      <w:marLeft w:val="0"/>
      <w:marRight w:val="0"/>
      <w:marTop w:val="0"/>
      <w:marBottom w:val="0"/>
      <w:divBdr>
        <w:top w:val="none" w:sz="0" w:space="0" w:color="auto"/>
        <w:left w:val="none" w:sz="0" w:space="0" w:color="auto"/>
        <w:bottom w:val="none" w:sz="0" w:space="0" w:color="auto"/>
        <w:right w:val="none" w:sz="0" w:space="0" w:color="auto"/>
      </w:divBdr>
    </w:div>
    <w:div w:id="2105148798">
      <w:bodyDiv w:val="1"/>
      <w:marLeft w:val="0"/>
      <w:marRight w:val="0"/>
      <w:marTop w:val="0"/>
      <w:marBottom w:val="0"/>
      <w:divBdr>
        <w:top w:val="none" w:sz="0" w:space="0" w:color="auto"/>
        <w:left w:val="none" w:sz="0" w:space="0" w:color="auto"/>
        <w:bottom w:val="none" w:sz="0" w:space="0" w:color="auto"/>
        <w:right w:val="none" w:sz="0" w:space="0" w:color="auto"/>
      </w:divBdr>
    </w:div>
    <w:div w:id="2145004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5.xm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chart" Target="charts/chart23.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image" Target="media/image1.png"/><Relationship Id="rId29" Type="http://schemas.openxmlformats.org/officeDocument/2006/relationships/chart" Target="charts/chart18.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chart" Target="charts/chart26.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image" Target="media/image4.png"/><Relationship Id="rId28" Type="http://schemas.openxmlformats.org/officeDocument/2006/relationships/chart" Target="charts/chart17.xml"/><Relationship Id="rId36" Type="http://schemas.openxmlformats.org/officeDocument/2006/relationships/chart" Target="charts/chart25.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20.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3.png"/><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hatef\Desktop\writting\help.xlsx" TargetMode="External"/></Relationships>
</file>

<file path=word/charts/_rels/chart19.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20.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2.xml"/><Relationship Id="rId1" Type="http://schemas.microsoft.com/office/2011/relationships/chartStyle" Target="style2.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3.xml"/><Relationship Id="rId1" Type="http://schemas.microsoft.com/office/2011/relationships/chartStyle" Target="style3.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4.xml"/><Relationship Id="rId1" Type="http://schemas.microsoft.com/office/2011/relationships/chartStyle" Target="style4.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5.xml"/><Relationship Id="rId1" Type="http://schemas.microsoft.com/office/2011/relationships/chartStyle" Target="style5.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6.xml"/><Relationship Id="rId1" Type="http://schemas.microsoft.com/office/2011/relationships/chartStyle" Target="style6.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7.xml"/><Relationship Id="rId1" Type="http://schemas.microsoft.com/office/2011/relationships/chartStyle" Target="style7.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hatefyekta\Desktop\UCONN\Research\Course%20allocation%20Problem\writting\help_revision.xlsx" TargetMode="External"/><Relationship Id="rId2" Type="http://schemas.microsoft.com/office/2011/relationships/chartColorStyle" Target="colors8.xml"/><Relationship Id="rId1" Type="http://schemas.microsoft.com/office/2011/relationships/chartStyle" Target="style8.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atefyekta\Desktop\UCONN\Research\Course%20allocation%20Problem\writting\help.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74825021872265"/>
          <c:y val="3.7037037037037035E-2"/>
          <c:w val="0.81102952755905511"/>
          <c:h val="0.73577136191309422"/>
        </c:manualLayout>
      </c:layout>
      <c:barChart>
        <c:barDir val="bar"/>
        <c:grouping val="clustered"/>
        <c:varyColors val="0"/>
        <c:ser>
          <c:idx val="0"/>
          <c:order val="0"/>
          <c:tx>
            <c:strRef>
              <c:f>'4 Wh'!$A$4</c:f>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Wh'!$B$3:$H$3</c:f>
              <c:strCache>
                <c:ptCount val="7"/>
                <c:pt idx="0">
                  <c:v>Draft</c:v>
                </c:pt>
                <c:pt idx="1">
                  <c:v>BPM</c:v>
                </c:pt>
                <c:pt idx="2">
                  <c:v>TTC</c:v>
                </c:pt>
                <c:pt idx="3">
                  <c:v>SP</c:v>
                </c:pt>
                <c:pt idx="4">
                  <c:v>TTC-O</c:v>
                </c:pt>
                <c:pt idx="5">
                  <c:v>SP-O</c:v>
                </c:pt>
                <c:pt idx="6">
                  <c:v>OC</c:v>
                </c:pt>
              </c:strCache>
            </c:strRef>
          </c:cat>
          <c:val>
            <c:numRef>
              <c:f>'4 Wh'!$B$4:$H$4</c:f>
              <c:numCache>
                <c:formatCode>0.00</c:formatCode>
                <c:ptCount val="7"/>
                <c:pt idx="0">
                  <c:v>1.8714821658034899</c:v>
                </c:pt>
                <c:pt idx="1">
                  <c:v>9.7053184624581199</c:v>
                </c:pt>
                <c:pt idx="2">
                  <c:v>1.97599478177732</c:v>
                </c:pt>
                <c:pt idx="3">
                  <c:v>1.33058663755774</c:v>
                </c:pt>
                <c:pt idx="4">
                  <c:v>1.6953138349168</c:v>
                </c:pt>
                <c:pt idx="5">
                  <c:v>1.6953186224019401</c:v>
                </c:pt>
                <c:pt idx="6">
                  <c:v>1.2528971844936001</c:v>
                </c:pt>
              </c:numCache>
            </c:numRef>
          </c:val>
          <c:extLst xmlns:c16r2="http://schemas.microsoft.com/office/drawing/2015/06/chart">
            <c:ext xmlns:c16="http://schemas.microsoft.com/office/drawing/2014/chart" uri="{C3380CC4-5D6E-409C-BE32-E72D297353CC}">
              <c16:uniqueId val="{00000000-64FB-4BE4-A960-71D54285AE8B}"/>
            </c:ext>
          </c:extLst>
        </c:ser>
        <c:dLbls>
          <c:dLblPos val="outEnd"/>
          <c:showLegendKey val="0"/>
          <c:showVal val="1"/>
          <c:showCatName val="0"/>
          <c:showSerName val="0"/>
          <c:showPercent val="0"/>
          <c:showBubbleSize val="0"/>
        </c:dLbls>
        <c:gapWidth val="182"/>
        <c:axId val="538277296"/>
        <c:axId val="538275336"/>
        <c:extLst xmlns:c16r2="http://schemas.microsoft.com/office/drawing/2015/06/chart">
          <c:ext xmlns:c15="http://schemas.microsoft.com/office/drawing/2012/chart" uri="{02D57815-91ED-43cb-92C2-25804820EDAC}">
            <c15:filteredBarSeries>
              <c15:ser>
                <c:idx val="1"/>
                <c:order val="1"/>
                <c:tx>
                  <c:strRef>
                    <c:extLst xmlns:c16r2="http://schemas.microsoft.com/office/drawing/2015/06/chart">
                      <c:ext uri="{02D57815-91ED-43cb-92C2-25804820EDAC}">
                        <c15:formulaRef>
                          <c15:sqref>'4 Wh'!$A$5</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Wh'!$B$5:$H$5</c15:sqref>
                        </c15:formulaRef>
                      </c:ext>
                    </c:extLst>
                    <c:numCache>
                      <c:formatCode>0.00</c:formatCode>
                      <c:ptCount val="7"/>
                      <c:pt idx="0">
                        <c:v>0.69609534067140399</c:v>
                      </c:pt>
                      <c:pt idx="1">
                        <c:v>13.743053948079901</c:v>
                      </c:pt>
                      <c:pt idx="2">
                        <c:v>1.0060417191042399</c:v>
                      </c:pt>
                      <c:pt idx="3">
                        <c:v>0.65842392910427305</c:v>
                      </c:pt>
                      <c:pt idx="4">
                        <c:v>0.95157404966124903</c:v>
                      </c:pt>
                      <c:pt idx="5">
                        <c:v>0.94799930500015395</c:v>
                      </c:pt>
                      <c:pt idx="6">
                        <c:v>1.1185986067246101</c:v>
                      </c:pt>
                    </c:numCache>
                  </c:numRef>
                </c:val>
                <c:extLst xmlns:c16r2="http://schemas.microsoft.com/office/drawing/2015/06/chart">
                  <c:ext xmlns:c16="http://schemas.microsoft.com/office/drawing/2014/chart" uri="{C3380CC4-5D6E-409C-BE32-E72D297353CC}">
                    <c16:uniqueId val="{00000001-64FB-4BE4-A960-71D54285AE8B}"/>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Wh'!$A$6</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Wh'!$B$6:$H$6</c15:sqref>
                        </c15:formulaRef>
                      </c:ext>
                    </c:extLst>
                    <c:numCache>
                      <c:formatCode>0.00</c:formatCode>
                      <c:ptCount val="7"/>
                      <c:pt idx="0">
                        <c:v>0.12663131103285399</c:v>
                      </c:pt>
                      <c:pt idx="1">
                        <c:v>13.375202492051301</c:v>
                      </c:pt>
                      <c:pt idx="2">
                        <c:v>0.56313438054109999</c:v>
                      </c:pt>
                      <c:pt idx="3">
                        <c:v>0.51047838664357803</c:v>
                      </c:pt>
                      <c:pt idx="4">
                        <c:v>0.28175608538229302</c:v>
                      </c:pt>
                      <c:pt idx="5">
                        <c:v>0.28175608538229302</c:v>
                      </c:pt>
                      <c:pt idx="6">
                        <c:v>0.84799696860921903</c:v>
                      </c:pt>
                    </c:numCache>
                  </c:numRef>
                </c:val>
                <c:extLst xmlns:c15="http://schemas.microsoft.com/office/drawing/2012/chart" xmlns:c16r2="http://schemas.microsoft.com/office/drawing/2015/06/chart">
                  <c:ext xmlns:c16="http://schemas.microsoft.com/office/drawing/2014/chart" uri="{C3380CC4-5D6E-409C-BE32-E72D297353CC}">
                    <c16:uniqueId val="{00000002-64FB-4BE4-A960-71D54285AE8B}"/>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Wh'!$A$7</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Wh'!$B$7:$H$7</c15:sqref>
                        </c15:formulaRef>
                      </c:ext>
                    </c:extLst>
                    <c:numCache>
                      <c:formatCode>0.00</c:formatCode>
                      <c:ptCount val="7"/>
                      <c:pt idx="0">
                        <c:v>0</c:v>
                      </c:pt>
                      <c:pt idx="1">
                        <c:v>10.4163861168423</c:v>
                      </c:pt>
                      <c:pt idx="2">
                        <c:v>0</c:v>
                      </c:pt>
                      <c:pt idx="3">
                        <c:v>0.35136016072509402</c:v>
                      </c:pt>
                      <c:pt idx="4">
                        <c:v>0</c:v>
                      </c:pt>
                      <c:pt idx="5">
                        <c:v>0</c:v>
                      </c:pt>
                      <c:pt idx="6">
                        <c:v>0.66391563821280397</c:v>
                      </c:pt>
                    </c:numCache>
                  </c:numRef>
                </c:val>
                <c:extLst xmlns:c15="http://schemas.microsoft.com/office/drawing/2012/chart" xmlns:c16r2="http://schemas.microsoft.com/office/drawing/2015/06/chart">
                  <c:ext xmlns:c16="http://schemas.microsoft.com/office/drawing/2014/chart" uri="{C3380CC4-5D6E-409C-BE32-E72D297353CC}">
                    <c16:uniqueId val="{00000003-64FB-4BE4-A960-71D54285AE8B}"/>
                  </c:ext>
                </c:extLst>
              </c15:ser>
            </c15:filteredBarSeries>
          </c:ext>
        </c:extLst>
      </c:barChart>
      <c:catAx>
        <c:axId val="538277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5336"/>
        <c:crosses val="autoZero"/>
        <c:auto val="1"/>
        <c:lblAlgn val="ctr"/>
        <c:lblOffset val="100"/>
        <c:noMultiLvlLbl val="0"/>
      </c:catAx>
      <c:valAx>
        <c:axId val="53827533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7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1"/>
          <c:tx>
            <c:strRef>
              <c:f>'4 Wh'!$A$17</c:f>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Wh'!$B$15:$H$15</c:f>
              <c:strCache>
                <c:ptCount val="7"/>
                <c:pt idx="0">
                  <c:v>Draft</c:v>
                </c:pt>
                <c:pt idx="1">
                  <c:v>BPM</c:v>
                </c:pt>
                <c:pt idx="2">
                  <c:v>TTC</c:v>
                </c:pt>
                <c:pt idx="3">
                  <c:v>SP</c:v>
                </c:pt>
                <c:pt idx="4">
                  <c:v>TTC-O</c:v>
                </c:pt>
                <c:pt idx="5">
                  <c:v>SP-O</c:v>
                </c:pt>
                <c:pt idx="6">
                  <c:v>OC</c:v>
                </c:pt>
              </c:strCache>
            </c:strRef>
          </c:cat>
          <c:val>
            <c:numRef>
              <c:f>'4 Wh'!$B$17:$H$17</c:f>
              <c:numCache>
                <c:formatCode>0.00</c:formatCode>
                <c:ptCount val="7"/>
                <c:pt idx="0">
                  <c:v>0.59964541561547002</c:v>
                </c:pt>
                <c:pt idx="1">
                  <c:v>13.743053948079901</c:v>
                </c:pt>
                <c:pt idx="2">
                  <c:v>0.42196109952684102</c:v>
                </c:pt>
                <c:pt idx="3">
                  <c:v>0.13837358417426601</c:v>
                </c:pt>
                <c:pt idx="4">
                  <c:v>0.51413502142785605</c:v>
                </c:pt>
                <c:pt idx="5">
                  <c:v>0.51145396293203504</c:v>
                </c:pt>
                <c:pt idx="6">
                  <c:v>0.52847970600860505</c:v>
                </c:pt>
              </c:numCache>
            </c:numRef>
          </c:val>
          <c:extLst xmlns:c16r2="http://schemas.microsoft.com/office/drawing/2015/06/chart">
            <c:ext xmlns:c16="http://schemas.microsoft.com/office/drawing/2014/chart" uri="{C3380CC4-5D6E-409C-BE32-E72D297353CC}">
              <c16:uniqueId val="{00000000-9A31-4C7B-85F9-653AFC840747}"/>
            </c:ext>
          </c:extLst>
        </c:ser>
        <c:dLbls>
          <c:dLblPos val="outEnd"/>
          <c:showLegendKey val="0"/>
          <c:showVal val="1"/>
          <c:showCatName val="0"/>
          <c:showSerName val="0"/>
          <c:showPercent val="0"/>
          <c:showBubbleSize val="0"/>
        </c:dLbls>
        <c:gapWidth val="182"/>
        <c:axId val="538280040"/>
        <c:axId val="538284744"/>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Wh'!$A$16</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Wh'!$B$16:$H$16</c15:sqref>
                        </c15:formulaRef>
                      </c:ext>
                    </c:extLst>
                    <c:numCache>
                      <c:formatCode>0.00</c:formatCode>
                      <c:ptCount val="7"/>
                      <c:pt idx="0">
                        <c:v>2.2457785989641899</c:v>
                      </c:pt>
                      <c:pt idx="1">
                        <c:v>9.7053184624581199</c:v>
                      </c:pt>
                      <c:pt idx="2">
                        <c:v>1.5430655066193599</c:v>
                      </c:pt>
                      <c:pt idx="3">
                        <c:v>0.93894631669718798</c:v>
                      </c:pt>
                      <c:pt idx="4">
                        <c:v>1.6062264023870101</c:v>
                      </c:pt>
                      <c:pt idx="5">
                        <c:v>1.6062309504979</c:v>
                      </c:pt>
                      <c:pt idx="6">
                        <c:v>0.88393387212712504</c:v>
                      </c:pt>
                    </c:numCache>
                  </c:numRef>
                </c:val>
                <c:extLst xmlns:c16r2="http://schemas.microsoft.com/office/drawing/2015/06/chart">
                  <c:ext xmlns:c16="http://schemas.microsoft.com/office/drawing/2014/chart" uri="{C3380CC4-5D6E-409C-BE32-E72D297353CC}">
                    <c16:uniqueId val="{00000001-9A31-4C7B-85F9-653AFC840747}"/>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Wh'!$A$18</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Wh'!$B$18:$H$18</c15:sqref>
                        </c15:formulaRef>
                      </c:ext>
                    </c:extLst>
                    <c:numCache>
                      <c:formatCode>0.00</c:formatCode>
                      <c:ptCount val="7"/>
                      <c:pt idx="0">
                        <c:v>-0.175029015037278</c:v>
                      </c:pt>
                      <c:pt idx="1">
                        <c:v>13.375202492051301</c:v>
                      </c:pt>
                      <c:pt idx="2">
                        <c:v>-0.613002849974563</c:v>
                      </c:pt>
                      <c:pt idx="3">
                        <c:v>-0.35918186408649799</c:v>
                      </c:pt>
                      <c:pt idx="4">
                        <c:v>-0.26230314626258799</c:v>
                      </c:pt>
                      <c:pt idx="5">
                        <c:v>-0.26230314626258799</c:v>
                      </c:pt>
                      <c:pt idx="6">
                        <c:v>-0.37557791860094503</c:v>
                      </c:pt>
                    </c:numCache>
                  </c:numRef>
                </c:val>
                <c:extLst xmlns:c15="http://schemas.microsoft.com/office/drawing/2012/chart" xmlns:c16r2="http://schemas.microsoft.com/office/drawing/2015/06/chart">
                  <c:ext xmlns:c16="http://schemas.microsoft.com/office/drawing/2014/chart" uri="{C3380CC4-5D6E-409C-BE32-E72D297353CC}">
                    <c16:uniqueId val="{00000002-9A31-4C7B-85F9-653AFC840747}"/>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Wh'!$A$19</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Wh'!$B$19:$H$19</c15:sqref>
                        </c15:formulaRef>
                      </c:ext>
                    </c:extLst>
                    <c:numCache>
                      <c:formatCode>0.00</c:formatCode>
                      <c:ptCount val="7"/>
                      <c:pt idx="0">
                        <c:v>-0.47485861223937198</c:v>
                      </c:pt>
                      <c:pt idx="1">
                        <c:v>2.1254083530441599</c:v>
                      </c:pt>
                      <c:pt idx="2">
                        <c:v>-1.07761960285805</c:v>
                      </c:pt>
                      <c:pt idx="3">
                        <c:v>-0.33657571135764902</c:v>
                      </c:pt>
                      <c:pt idx="4">
                        <c:v>-0.83751775760909097</c:v>
                      </c:pt>
                      <c:pt idx="5">
                        <c:v>-0.83751775760909097</c:v>
                      </c:pt>
                      <c:pt idx="6">
                        <c:v>-1.5299722565178799</c:v>
                      </c:pt>
                    </c:numCache>
                  </c:numRef>
                </c:val>
                <c:extLst xmlns:c15="http://schemas.microsoft.com/office/drawing/2012/chart" xmlns:c16r2="http://schemas.microsoft.com/office/drawing/2015/06/chart">
                  <c:ext xmlns:c16="http://schemas.microsoft.com/office/drawing/2014/chart" uri="{C3380CC4-5D6E-409C-BE32-E72D297353CC}">
                    <c16:uniqueId val="{00000003-9A31-4C7B-85F9-653AFC840747}"/>
                  </c:ext>
                </c:extLst>
              </c15:ser>
            </c15:filteredBarSeries>
          </c:ext>
        </c:extLst>
      </c:barChart>
      <c:catAx>
        <c:axId val="5382800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4744"/>
        <c:crossesAt val="-1.6"/>
        <c:auto val="1"/>
        <c:lblAlgn val="ctr"/>
        <c:lblOffset val="100"/>
        <c:noMultiLvlLbl val="0"/>
      </c:catAx>
      <c:valAx>
        <c:axId val="538284744"/>
        <c:scaling>
          <c:orientation val="minMax"/>
          <c:max val="14"/>
          <c:min val="-2"/>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0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2"/>
          <c:order val="2"/>
          <c:tx>
            <c:strRef>
              <c:f>'4 Wh'!$A$18</c:f>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Wh'!$B$15:$H$15</c:f>
              <c:strCache>
                <c:ptCount val="7"/>
                <c:pt idx="0">
                  <c:v>Draft</c:v>
                </c:pt>
                <c:pt idx="1">
                  <c:v>BPM</c:v>
                </c:pt>
                <c:pt idx="2">
                  <c:v>TTC</c:v>
                </c:pt>
                <c:pt idx="3">
                  <c:v>SP</c:v>
                </c:pt>
                <c:pt idx="4">
                  <c:v>TTC-O</c:v>
                </c:pt>
                <c:pt idx="5">
                  <c:v>SP-O</c:v>
                </c:pt>
                <c:pt idx="6">
                  <c:v>OC</c:v>
                </c:pt>
              </c:strCache>
            </c:strRef>
          </c:cat>
          <c:val>
            <c:numRef>
              <c:f>'4 Wh'!$B$18:$H$18</c:f>
              <c:numCache>
                <c:formatCode>0.00</c:formatCode>
                <c:ptCount val="7"/>
                <c:pt idx="0">
                  <c:v>-0.175029015037278</c:v>
                </c:pt>
                <c:pt idx="1">
                  <c:v>13.375202492051301</c:v>
                </c:pt>
                <c:pt idx="2">
                  <c:v>-0.613002849974563</c:v>
                </c:pt>
                <c:pt idx="3">
                  <c:v>-0.35918186408649799</c:v>
                </c:pt>
                <c:pt idx="4">
                  <c:v>-0.26230314626258799</c:v>
                </c:pt>
                <c:pt idx="5">
                  <c:v>-0.26230314626258799</c:v>
                </c:pt>
                <c:pt idx="6">
                  <c:v>-0.37557791860094503</c:v>
                </c:pt>
              </c:numCache>
            </c:numRef>
          </c:val>
          <c:extLst xmlns:c16r2="http://schemas.microsoft.com/office/drawing/2015/06/chart">
            <c:ext xmlns:c16="http://schemas.microsoft.com/office/drawing/2014/chart" uri="{C3380CC4-5D6E-409C-BE32-E72D297353CC}">
              <c16:uniqueId val="{00000000-8AFF-4AB2-A1EC-0CF89011C5F1}"/>
            </c:ext>
          </c:extLst>
        </c:ser>
        <c:dLbls>
          <c:dLblPos val="outEnd"/>
          <c:showLegendKey val="0"/>
          <c:showVal val="1"/>
          <c:showCatName val="0"/>
          <c:showSerName val="0"/>
          <c:showPercent val="0"/>
          <c:showBubbleSize val="0"/>
        </c:dLbls>
        <c:gapWidth val="182"/>
        <c:axId val="538284352"/>
        <c:axId val="538286704"/>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Wh'!$A$16</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Wh'!$B$16:$H$16</c15:sqref>
                        </c15:formulaRef>
                      </c:ext>
                    </c:extLst>
                    <c:numCache>
                      <c:formatCode>0.00</c:formatCode>
                      <c:ptCount val="7"/>
                      <c:pt idx="0">
                        <c:v>2.2457785989641899</c:v>
                      </c:pt>
                      <c:pt idx="1">
                        <c:v>9.7053184624581199</c:v>
                      </c:pt>
                      <c:pt idx="2">
                        <c:v>1.5430655066193599</c:v>
                      </c:pt>
                      <c:pt idx="3">
                        <c:v>0.93894631669718798</c:v>
                      </c:pt>
                      <c:pt idx="4">
                        <c:v>1.6062264023870101</c:v>
                      </c:pt>
                      <c:pt idx="5">
                        <c:v>1.6062309504979</c:v>
                      </c:pt>
                      <c:pt idx="6">
                        <c:v>0.88393387212712504</c:v>
                      </c:pt>
                    </c:numCache>
                  </c:numRef>
                </c:val>
                <c:extLst xmlns:c16r2="http://schemas.microsoft.com/office/drawing/2015/06/chart">
                  <c:ext xmlns:c16="http://schemas.microsoft.com/office/drawing/2014/chart" uri="{C3380CC4-5D6E-409C-BE32-E72D297353CC}">
                    <c16:uniqueId val="{00000001-8AFF-4AB2-A1EC-0CF89011C5F1}"/>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Wh'!$A$17</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Wh'!$B$17:$H$17</c15:sqref>
                        </c15:formulaRef>
                      </c:ext>
                    </c:extLst>
                    <c:numCache>
                      <c:formatCode>0.00</c:formatCode>
                      <c:ptCount val="7"/>
                      <c:pt idx="0">
                        <c:v>0.59964541561547002</c:v>
                      </c:pt>
                      <c:pt idx="1">
                        <c:v>13.743053948079901</c:v>
                      </c:pt>
                      <c:pt idx="2">
                        <c:v>0.42196109952684102</c:v>
                      </c:pt>
                      <c:pt idx="3">
                        <c:v>0.13837358417426601</c:v>
                      </c:pt>
                      <c:pt idx="4">
                        <c:v>0.51413502142785605</c:v>
                      </c:pt>
                      <c:pt idx="5">
                        <c:v>0.51145396293203504</c:v>
                      </c:pt>
                      <c:pt idx="6">
                        <c:v>0.52847970600860505</c:v>
                      </c:pt>
                    </c:numCache>
                  </c:numRef>
                </c:val>
                <c:extLst xmlns:c15="http://schemas.microsoft.com/office/drawing/2012/chart" xmlns:c16r2="http://schemas.microsoft.com/office/drawing/2015/06/chart">
                  <c:ext xmlns:c16="http://schemas.microsoft.com/office/drawing/2014/chart" uri="{C3380CC4-5D6E-409C-BE32-E72D297353CC}">
                    <c16:uniqueId val="{00000002-8AFF-4AB2-A1EC-0CF89011C5F1}"/>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Wh'!$A$19</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Wh'!$B$19:$H$19</c15:sqref>
                        </c15:formulaRef>
                      </c:ext>
                    </c:extLst>
                    <c:numCache>
                      <c:formatCode>0.00</c:formatCode>
                      <c:ptCount val="7"/>
                      <c:pt idx="0">
                        <c:v>-0.47485861223937198</c:v>
                      </c:pt>
                      <c:pt idx="1">
                        <c:v>2.1254083530441599</c:v>
                      </c:pt>
                      <c:pt idx="2">
                        <c:v>-1.07761960285805</c:v>
                      </c:pt>
                      <c:pt idx="3">
                        <c:v>-0.33657571135764902</c:v>
                      </c:pt>
                      <c:pt idx="4">
                        <c:v>-0.83751775760909097</c:v>
                      </c:pt>
                      <c:pt idx="5">
                        <c:v>-0.83751775760909097</c:v>
                      </c:pt>
                      <c:pt idx="6">
                        <c:v>-1.5299722565178799</c:v>
                      </c:pt>
                    </c:numCache>
                  </c:numRef>
                </c:val>
                <c:extLst xmlns:c15="http://schemas.microsoft.com/office/drawing/2012/chart" xmlns:c16r2="http://schemas.microsoft.com/office/drawing/2015/06/chart">
                  <c:ext xmlns:c16="http://schemas.microsoft.com/office/drawing/2014/chart" uri="{C3380CC4-5D6E-409C-BE32-E72D297353CC}">
                    <c16:uniqueId val="{00000003-8AFF-4AB2-A1EC-0CF89011C5F1}"/>
                  </c:ext>
                </c:extLst>
              </c15:ser>
            </c15:filteredBarSeries>
          </c:ext>
        </c:extLst>
      </c:barChart>
      <c:catAx>
        <c:axId val="5382843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6704"/>
        <c:crossesAt val="-1.6"/>
        <c:auto val="1"/>
        <c:lblAlgn val="ctr"/>
        <c:lblOffset val="100"/>
        <c:noMultiLvlLbl val="0"/>
      </c:catAx>
      <c:valAx>
        <c:axId val="538286704"/>
        <c:scaling>
          <c:orientation val="minMax"/>
          <c:max val="14"/>
          <c:min val="-2"/>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43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3"/>
          <c:order val="3"/>
          <c:tx>
            <c:strRef>
              <c:f>'4 Wh'!$A$19</c:f>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Wh'!$B$15:$H$15</c:f>
              <c:strCache>
                <c:ptCount val="7"/>
                <c:pt idx="0">
                  <c:v>Draft</c:v>
                </c:pt>
                <c:pt idx="1">
                  <c:v>BPM</c:v>
                </c:pt>
                <c:pt idx="2">
                  <c:v>TTC</c:v>
                </c:pt>
                <c:pt idx="3">
                  <c:v>SP</c:v>
                </c:pt>
                <c:pt idx="4">
                  <c:v>TTC-O</c:v>
                </c:pt>
                <c:pt idx="5">
                  <c:v>SP-O</c:v>
                </c:pt>
                <c:pt idx="6">
                  <c:v>OC</c:v>
                </c:pt>
              </c:strCache>
            </c:strRef>
          </c:cat>
          <c:val>
            <c:numRef>
              <c:f>'4 Wh'!$B$19:$H$19</c:f>
              <c:numCache>
                <c:formatCode>0.00</c:formatCode>
                <c:ptCount val="7"/>
                <c:pt idx="0">
                  <c:v>-0.47485861223937198</c:v>
                </c:pt>
                <c:pt idx="1">
                  <c:v>2.1254083530441599</c:v>
                </c:pt>
                <c:pt idx="2">
                  <c:v>-1.07761960285805</c:v>
                </c:pt>
                <c:pt idx="3">
                  <c:v>-0.33657571135764902</c:v>
                </c:pt>
                <c:pt idx="4">
                  <c:v>-0.83751775760909097</c:v>
                </c:pt>
                <c:pt idx="5">
                  <c:v>-0.83751775760909097</c:v>
                </c:pt>
                <c:pt idx="6">
                  <c:v>-1.5299722565178799</c:v>
                </c:pt>
              </c:numCache>
            </c:numRef>
          </c:val>
          <c:extLst xmlns:c16r2="http://schemas.microsoft.com/office/drawing/2015/06/chart">
            <c:ext xmlns:c16="http://schemas.microsoft.com/office/drawing/2014/chart" uri="{C3380CC4-5D6E-409C-BE32-E72D297353CC}">
              <c16:uniqueId val="{00000000-7A23-4104-AF9E-177BCE2E3A81}"/>
            </c:ext>
          </c:extLst>
        </c:ser>
        <c:dLbls>
          <c:dLblPos val="outEnd"/>
          <c:showLegendKey val="0"/>
          <c:showVal val="1"/>
          <c:showCatName val="0"/>
          <c:showSerName val="0"/>
          <c:showPercent val="0"/>
          <c:showBubbleSize val="0"/>
        </c:dLbls>
        <c:gapWidth val="182"/>
        <c:axId val="538285136"/>
        <c:axId val="53828748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Wh'!$A$16</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Wh'!$B$16:$H$16</c15:sqref>
                        </c15:formulaRef>
                      </c:ext>
                    </c:extLst>
                    <c:numCache>
                      <c:formatCode>0.00</c:formatCode>
                      <c:ptCount val="7"/>
                      <c:pt idx="0">
                        <c:v>2.2457785989641899</c:v>
                      </c:pt>
                      <c:pt idx="1">
                        <c:v>9.7053184624581199</c:v>
                      </c:pt>
                      <c:pt idx="2">
                        <c:v>1.5430655066193599</c:v>
                      </c:pt>
                      <c:pt idx="3">
                        <c:v>0.93894631669718798</c:v>
                      </c:pt>
                      <c:pt idx="4">
                        <c:v>1.6062264023870101</c:v>
                      </c:pt>
                      <c:pt idx="5">
                        <c:v>1.6062309504979</c:v>
                      </c:pt>
                      <c:pt idx="6">
                        <c:v>0.88393387212712504</c:v>
                      </c:pt>
                    </c:numCache>
                  </c:numRef>
                </c:val>
                <c:extLst xmlns:c16r2="http://schemas.microsoft.com/office/drawing/2015/06/chart">
                  <c:ext xmlns:c16="http://schemas.microsoft.com/office/drawing/2014/chart" uri="{C3380CC4-5D6E-409C-BE32-E72D297353CC}">
                    <c16:uniqueId val="{00000001-7A23-4104-AF9E-177BCE2E3A81}"/>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Wh'!$A$17</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Wh'!$B$17:$H$17</c15:sqref>
                        </c15:formulaRef>
                      </c:ext>
                    </c:extLst>
                    <c:numCache>
                      <c:formatCode>0.00</c:formatCode>
                      <c:ptCount val="7"/>
                      <c:pt idx="0">
                        <c:v>0.59964541561547002</c:v>
                      </c:pt>
                      <c:pt idx="1">
                        <c:v>13.743053948079901</c:v>
                      </c:pt>
                      <c:pt idx="2">
                        <c:v>0.42196109952684102</c:v>
                      </c:pt>
                      <c:pt idx="3">
                        <c:v>0.13837358417426601</c:v>
                      </c:pt>
                      <c:pt idx="4">
                        <c:v>0.51413502142785605</c:v>
                      </c:pt>
                      <c:pt idx="5">
                        <c:v>0.51145396293203504</c:v>
                      </c:pt>
                      <c:pt idx="6">
                        <c:v>0.52847970600860505</c:v>
                      </c:pt>
                    </c:numCache>
                  </c:numRef>
                </c:val>
                <c:extLst xmlns:c15="http://schemas.microsoft.com/office/drawing/2012/chart" xmlns:c16r2="http://schemas.microsoft.com/office/drawing/2015/06/chart">
                  <c:ext xmlns:c16="http://schemas.microsoft.com/office/drawing/2014/chart" uri="{C3380CC4-5D6E-409C-BE32-E72D297353CC}">
                    <c16:uniqueId val="{00000002-7A23-4104-AF9E-177BCE2E3A81}"/>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Wh'!$A$18</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Wh'!$B$18:$H$18</c15:sqref>
                        </c15:formulaRef>
                      </c:ext>
                    </c:extLst>
                    <c:numCache>
                      <c:formatCode>0.00</c:formatCode>
                      <c:ptCount val="7"/>
                      <c:pt idx="0">
                        <c:v>-0.175029015037278</c:v>
                      </c:pt>
                      <c:pt idx="1">
                        <c:v>13.375202492051301</c:v>
                      </c:pt>
                      <c:pt idx="2">
                        <c:v>-0.613002849974563</c:v>
                      </c:pt>
                      <c:pt idx="3">
                        <c:v>-0.35918186408649799</c:v>
                      </c:pt>
                      <c:pt idx="4">
                        <c:v>-0.26230314626258799</c:v>
                      </c:pt>
                      <c:pt idx="5">
                        <c:v>-0.26230314626258799</c:v>
                      </c:pt>
                      <c:pt idx="6">
                        <c:v>-0.37557791860094503</c:v>
                      </c:pt>
                    </c:numCache>
                  </c:numRef>
                </c:val>
                <c:extLst xmlns:c15="http://schemas.microsoft.com/office/drawing/2012/chart" xmlns:c16r2="http://schemas.microsoft.com/office/drawing/2015/06/chart">
                  <c:ext xmlns:c16="http://schemas.microsoft.com/office/drawing/2014/chart" uri="{C3380CC4-5D6E-409C-BE32-E72D297353CC}">
                    <c16:uniqueId val="{00000003-7A23-4104-AF9E-177BCE2E3A81}"/>
                  </c:ext>
                </c:extLst>
              </c15:ser>
            </c15:filteredBarSeries>
          </c:ext>
        </c:extLst>
      </c:barChart>
      <c:catAx>
        <c:axId val="5382851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7488"/>
        <c:crossesAt val="-1.6"/>
        <c:auto val="1"/>
        <c:lblAlgn val="ctr"/>
        <c:lblOffset val="100"/>
        <c:noMultiLvlLbl val="0"/>
      </c:catAx>
      <c:valAx>
        <c:axId val="538287488"/>
        <c:scaling>
          <c:orientation val="minMax"/>
          <c:max val="14"/>
          <c:min val="-2"/>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5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2'!$D$12:$K$12</c:f>
              <c:strCache>
                <c:ptCount val="8"/>
                <c:pt idx="0">
                  <c:v>Draft</c:v>
                </c:pt>
                <c:pt idx="1">
                  <c:v>BPM</c:v>
                </c:pt>
                <c:pt idx="2">
                  <c:v>TTC</c:v>
                </c:pt>
                <c:pt idx="3">
                  <c:v>SP</c:v>
                </c:pt>
                <c:pt idx="4">
                  <c:v>TTC-O</c:v>
                </c:pt>
                <c:pt idx="5">
                  <c:v>SP-O</c:v>
                </c:pt>
                <c:pt idx="6">
                  <c:v>A-CEEI</c:v>
                </c:pt>
                <c:pt idx="7">
                  <c:v>OC</c:v>
                </c:pt>
              </c:strCache>
            </c:strRef>
          </c:cat>
          <c:val>
            <c:numRef>
              <c:f>'Budish 2'!$D$13:$K$13</c:f>
              <c:numCache>
                <c:formatCode>0.00</c:formatCode>
                <c:ptCount val="8"/>
                <c:pt idx="0">
                  <c:v>11.44319999999999</c:v>
                </c:pt>
                <c:pt idx="1">
                  <c:v>12.245600000000024</c:v>
                </c:pt>
                <c:pt idx="2">
                  <c:v>13.461599999999976</c:v>
                </c:pt>
                <c:pt idx="3">
                  <c:v>13.131199999999978</c:v>
                </c:pt>
                <c:pt idx="4">
                  <c:v>15.305600000000027</c:v>
                </c:pt>
                <c:pt idx="5">
                  <c:v>15.305600000000027</c:v>
                </c:pt>
                <c:pt idx="6">
                  <c:v>0</c:v>
                </c:pt>
                <c:pt idx="7">
                  <c:v>15.708000000000027</c:v>
                </c:pt>
              </c:numCache>
            </c:numRef>
          </c:val>
          <c:extLst xmlns:c16r2="http://schemas.microsoft.com/office/drawing/2015/06/chart">
            <c:ext xmlns:c16="http://schemas.microsoft.com/office/drawing/2014/chart" uri="{C3380CC4-5D6E-409C-BE32-E72D297353CC}">
              <c16:uniqueId val="{00000000-0209-4812-A37C-9DEF23D3AA9D}"/>
            </c:ext>
          </c:extLst>
        </c:ser>
        <c:dLbls>
          <c:dLblPos val="outEnd"/>
          <c:showLegendKey val="0"/>
          <c:showVal val="1"/>
          <c:showCatName val="0"/>
          <c:showSerName val="0"/>
          <c:showPercent val="0"/>
          <c:showBubbleSize val="0"/>
        </c:dLbls>
        <c:gapWidth val="182"/>
        <c:axId val="538285920"/>
        <c:axId val="567697024"/>
      </c:barChart>
      <c:catAx>
        <c:axId val="5382859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67697024"/>
        <c:crosses val="autoZero"/>
        <c:auto val="1"/>
        <c:lblAlgn val="ctr"/>
        <c:lblOffset val="100"/>
        <c:noMultiLvlLbl val="0"/>
      </c:catAx>
      <c:valAx>
        <c:axId val="56769702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5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2'!$D$18:$K$18</c:f>
              <c:strCache>
                <c:ptCount val="8"/>
                <c:pt idx="0">
                  <c:v>Draft</c:v>
                </c:pt>
                <c:pt idx="1">
                  <c:v>BPM</c:v>
                </c:pt>
                <c:pt idx="2">
                  <c:v>TTC</c:v>
                </c:pt>
                <c:pt idx="3">
                  <c:v>SP</c:v>
                </c:pt>
                <c:pt idx="4">
                  <c:v>TTC-O</c:v>
                </c:pt>
                <c:pt idx="5">
                  <c:v>SP-O</c:v>
                </c:pt>
                <c:pt idx="6">
                  <c:v>A-CEEI</c:v>
                </c:pt>
                <c:pt idx="7">
                  <c:v>OC</c:v>
                </c:pt>
              </c:strCache>
            </c:strRef>
          </c:cat>
          <c:val>
            <c:numRef>
              <c:f>'Budish 2'!$D$19:$K$19</c:f>
              <c:numCache>
                <c:formatCode>General</c:formatCode>
                <c:ptCount val="8"/>
                <c:pt idx="0">
                  <c:v>44.800000000000011</c:v>
                </c:pt>
                <c:pt idx="1">
                  <c:v>153.80000000000001</c:v>
                </c:pt>
                <c:pt idx="2">
                  <c:v>50.399999999999977</c:v>
                </c:pt>
                <c:pt idx="3">
                  <c:v>49.599999999999966</c:v>
                </c:pt>
                <c:pt idx="4">
                  <c:v>45.200000000000045</c:v>
                </c:pt>
                <c:pt idx="5">
                  <c:v>45.200000000000045</c:v>
                </c:pt>
                <c:pt idx="6">
                  <c:v>272.39999999999998</c:v>
                </c:pt>
                <c:pt idx="7">
                  <c:v>108.20000000000005</c:v>
                </c:pt>
              </c:numCache>
            </c:numRef>
          </c:val>
          <c:extLst xmlns:c16r2="http://schemas.microsoft.com/office/drawing/2015/06/chart">
            <c:ext xmlns:c16="http://schemas.microsoft.com/office/drawing/2014/chart" uri="{C3380CC4-5D6E-409C-BE32-E72D297353CC}">
              <c16:uniqueId val="{00000000-678F-4B17-A277-546D49775A00}"/>
            </c:ext>
          </c:extLst>
        </c:ser>
        <c:dLbls>
          <c:dLblPos val="outEnd"/>
          <c:showLegendKey val="0"/>
          <c:showVal val="1"/>
          <c:showCatName val="0"/>
          <c:showSerName val="0"/>
          <c:showPercent val="0"/>
          <c:showBubbleSize val="0"/>
        </c:dLbls>
        <c:gapWidth val="182"/>
        <c:axId val="469336296"/>
        <c:axId val="469892048"/>
      </c:barChart>
      <c:catAx>
        <c:axId val="469336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2048"/>
        <c:crosses val="autoZero"/>
        <c:auto val="1"/>
        <c:lblAlgn val="ctr"/>
        <c:lblOffset val="100"/>
        <c:noMultiLvlLbl val="0"/>
      </c:catAx>
      <c:valAx>
        <c:axId val="4698920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336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2'!$D$20:$K$20</c:f>
              <c:strCache>
                <c:ptCount val="8"/>
                <c:pt idx="0">
                  <c:v>Draft</c:v>
                </c:pt>
                <c:pt idx="1">
                  <c:v>BPM</c:v>
                </c:pt>
                <c:pt idx="2">
                  <c:v>TTC</c:v>
                </c:pt>
                <c:pt idx="3">
                  <c:v>SP</c:v>
                </c:pt>
                <c:pt idx="4">
                  <c:v>TTC-O</c:v>
                </c:pt>
                <c:pt idx="5">
                  <c:v>SP-O</c:v>
                </c:pt>
                <c:pt idx="6">
                  <c:v>A-CEEI</c:v>
                </c:pt>
                <c:pt idx="7">
                  <c:v>OC</c:v>
                </c:pt>
              </c:strCache>
            </c:strRef>
          </c:cat>
          <c:val>
            <c:numRef>
              <c:f>'Budish 2'!$D$21:$K$21</c:f>
              <c:numCache>
                <c:formatCode>0.00</c:formatCode>
                <c:ptCount val="8"/>
                <c:pt idx="0">
                  <c:v>8.3175175315896492</c:v>
                </c:pt>
                <c:pt idx="1">
                  <c:v>32.798468930956403</c:v>
                </c:pt>
                <c:pt idx="2">
                  <c:v>9.0627468439736898</c:v>
                </c:pt>
                <c:pt idx="3">
                  <c:v>8.78101159228558</c:v>
                </c:pt>
                <c:pt idx="4">
                  <c:v>7.8490664049651597</c:v>
                </c:pt>
                <c:pt idx="5">
                  <c:v>7.8490664049651597</c:v>
                </c:pt>
                <c:pt idx="6">
                  <c:v>28.763413366648098</c:v>
                </c:pt>
                <c:pt idx="7">
                  <c:v>20.818487933335501</c:v>
                </c:pt>
              </c:numCache>
            </c:numRef>
          </c:val>
          <c:extLst xmlns:c16r2="http://schemas.microsoft.com/office/drawing/2015/06/chart">
            <c:ext xmlns:c16="http://schemas.microsoft.com/office/drawing/2014/chart" uri="{C3380CC4-5D6E-409C-BE32-E72D297353CC}">
              <c16:uniqueId val="{00000000-B478-47C2-BE92-4C8B0416B801}"/>
            </c:ext>
          </c:extLst>
        </c:ser>
        <c:dLbls>
          <c:dLblPos val="outEnd"/>
          <c:showLegendKey val="0"/>
          <c:showVal val="1"/>
          <c:showCatName val="0"/>
          <c:showSerName val="0"/>
          <c:showPercent val="0"/>
          <c:showBubbleSize val="0"/>
        </c:dLbls>
        <c:gapWidth val="182"/>
        <c:axId val="469895576"/>
        <c:axId val="469891656"/>
      </c:barChart>
      <c:catAx>
        <c:axId val="4698955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1656"/>
        <c:crosses val="autoZero"/>
        <c:auto val="1"/>
        <c:lblAlgn val="ctr"/>
        <c:lblOffset val="100"/>
        <c:noMultiLvlLbl val="0"/>
      </c:catAx>
      <c:valAx>
        <c:axId val="469891656"/>
        <c:scaling>
          <c:orientation val="minMax"/>
          <c:min val="5"/>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5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2'!$D$24:$K$24</c:f>
              <c:strCache>
                <c:ptCount val="8"/>
                <c:pt idx="0">
                  <c:v>Draft</c:v>
                </c:pt>
                <c:pt idx="1">
                  <c:v>BPM</c:v>
                </c:pt>
                <c:pt idx="2">
                  <c:v>TTC</c:v>
                </c:pt>
                <c:pt idx="3">
                  <c:v>SP</c:v>
                </c:pt>
                <c:pt idx="4">
                  <c:v>TTC-O</c:v>
                </c:pt>
                <c:pt idx="5">
                  <c:v>SP-O</c:v>
                </c:pt>
                <c:pt idx="6">
                  <c:v>A-CEEI</c:v>
                </c:pt>
                <c:pt idx="7">
                  <c:v>OC</c:v>
                </c:pt>
              </c:strCache>
            </c:strRef>
          </c:cat>
          <c:val>
            <c:numRef>
              <c:f>'Budish 2'!$D$25:$K$25</c:f>
              <c:numCache>
                <c:formatCode>0.00</c:formatCode>
                <c:ptCount val="8"/>
                <c:pt idx="0">
                  <c:v>8.3202465896459898</c:v>
                </c:pt>
                <c:pt idx="1">
                  <c:v>13.873141094668995</c:v>
                </c:pt>
                <c:pt idx="2">
                  <c:v>11.275100579813994</c:v>
                </c:pt>
                <c:pt idx="3">
                  <c:v>10.603768591895999</c:v>
                </c:pt>
                <c:pt idx="4">
                  <c:v>12.738512399032004</c:v>
                </c:pt>
                <c:pt idx="5">
                  <c:v>12.738512399032004</c:v>
                </c:pt>
                <c:pt idx="6">
                  <c:v>0</c:v>
                </c:pt>
                <c:pt idx="7">
                  <c:v>16.542997753874999</c:v>
                </c:pt>
              </c:numCache>
            </c:numRef>
          </c:val>
          <c:extLst xmlns:c16r2="http://schemas.microsoft.com/office/drawing/2015/06/chart">
            <c:ext xmlns:c16="http://schemas.microsoft.com/office/drawing/2014/chart" uri="{C3380CC4-5D6E-409C-BE32-E72D297353CC}">
              <c16:uniqueId val="{00000000-56FA-42C9-8ACC-98B2727CC0B8}"/>
            </c:ext>
          </c:extLst>
        </c:ser>
        <c:dLbls>
          <c:dLblPos val="outEnd"/>
          <c:showLegendKey val="0"/>
          <c:showVal val="1"/>
          <c:showCatName val="0"/>
          <c:showSerName val="0"/>
          <c:showPercent val="0"/>
          <c:showBubbleSize val="0"/>
        </c:dLbls>
        <c:gapWidth val="182"/>
        <c:axId val="469894400"/>
        <c:axId val="469886952"/>
      </c:barChart>
      <c:catAx>
        <c:axId val="4698944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6952"/>
        <c:crosses val="autoZero"/>
        <c:auto val="1"/>
        <c:lblAlgn val="ctr"/>
        <c:lblOffset val="100"/>
        <c:noMultiLvlLbl val="0"/>
      </c:catAx>
      <c:valAx>
        <c:axId val="46988695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4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'Budish 2'!$C$27</c:f>
              <c:strCache>
                <c:ptCount val="1"/>
                <c:pt idx="0">
                  <c:v>range_Tbid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2'!$D$26:$K$26</c:f>
              <c:strCache>
                <c:ptCount val="8"/>
                <c:pt idx="0">
                  <c:v>Draft</c:v>
                </c:pt>
                <c:pt idx="1">
                  <c:v>BPM</c:v>
                </c:pt>
                <c:pt idx="2">
                  <c:v>TTC</c:v>
                </c:pt>
                <c:pt idx="3">
                  <c:v>SP</c:v>
                </c:pt>
                <c:pt idx="4">
                  <c:v>TTC-O</c:v>
                </c:pt>
                <c:pt idx="5">
                  <c:v>SP-O</c:v>
                </c:pt>
                <c:pt idx="6">
                  <c:v>A-CEEI</c:v>
                </c:pt>
                <c:pt idx="7">
                  <c:v>OC</c:v>
                </c:pt>
              </c:strCache>
            </c:strRef>
          </c:cat>
          <c:val>
            <c:numRef>
              <c:f>'Budish 2'!$D$27:$K$27</c:f>
              <c:numCache>
                <c:formatCode>0.00</c:formatCode>
                <c:ptCount val="8"/>
                <c:pt idx="0">
                  <c:v>60.621179462753602</c:v>
                </c:pt>
                <c:pt idx="1">
                  <c:v>189.499856731764</c:v>
                </c:pt>
                <c:pt idx="2">
                  <c:v>67.794259803220598</c:v>
                </c:pt>
                <c:pt idx="3">
                  <c:v>60.089544650053199</c:v>
                </c:pt>
                <c:pt idx="4">
                  <c:v>58.912715271706901</c:v>
                </c:pt>
                <c:pt idx="5">
                  <c:v>58.912715271706901</c:v>
                </c:pt>
                <c:pt idx="6">
                  <c:v>118.82370529724101</c:v>
                </c:pt>
                <c:pt idx="7">
                  <c:v>140.41049155340099</c:v>
                </c:pt>
              </c:numCache>
            </c:numRef>
          </c:val>
          <c:extLst xmlns:c16r2="http://schemas.microsoft.com/office/drawing/2015/06/chart">
            <c:ext xmlns:c16="http://schemas.microsoft.com/office/drawing/2014/chart" uri="{C3380CC4-5D6E-409C-BE32-E72D297353CC}">
              <c16:uniqueId val="{00000000-D616-43CF-8DAF-BBACE54277E6}"/>
            </c:ext>
          </c:extLst>
        </c:ser>
        <c:dLbls>
          <c:dLblPos val="outEnd"/>
          <c:showLegendKey val="0"/>
          <c:showVal val="1"/>
          <c:showCatName val="0"/>
          <c:showSerName val="0"/>
          <c:showPercent val="0"/>
          <c:showBubbleSize val="0"/>
        </c:dLbls>
        <c:gapWidth val="182"/>
        <c:axId val="469895968"/>
        <c:axId val="469886168"/>
      </c:barChart>
      <c:catAx>
        <c:axId val="4698959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6168"/>
        <c:crosses val="autoZero"/>
        <c:auto val="1"/>
        <c:lblAlgn val="ctr"/>
        <c:lblOffset val="100"/>
        <c:noMultiLvlLbl val="0"/>
      </c:catAx>
      <c:valAx>
        <c:axId val="469886168"/>
        <c:scaling>
          <c:orientation val="minMax"/>
          <c:max val="190"/>
          <c:min val="50"/>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5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'Budish 2'!$D$28:$K$28</c:f>
              <c:strCache>
                <c:ptCount val="8"/>
                <c:pt idx="0">
                  <c:v>Draft</c:v>
                </c:pt>
                <c:pt idx="1">
                  <c:v>BPM</c:v>
                </c:pt>
                <c:pt idx="2">
                  <c:v>TTC</c:v>
                </c:pt>
                <c:pt idx="3">
                  <c:v>SP</c:v>
                </c:pt>
                <c:pt idx="4">
                  <c:v>TTC-O</c:v>
                </c:pt>
                <c:pt idx="5">
                  <c:v>SP-O</c:v>
                </c:pt>
                <c:pt idx="6">
                  <c:v>A-CEEI</c:v>
                </c:pt>
                <c:pt idx="7">
                  <c:v>OC</c:v>
                </c:pt>
              </c:strCache>
            </c:strRef>
          </c:cat>
          <c:val>
            <c:numRef>
              <c:f>'Budish 2'!$D$29:$K$29</c:f>
              <c:numCache>
                <c:formatCode>0.00</c:formatCode>
                <c:ptCount val="8"/>
                <c:pt idx="0">
                  <c:v>10.1563525794623</c:v>
                </c:pt>
                <c:pt idx="1">
                  <c:v>36.976370317182997</c:v>
                </c:pt>
                <c:pt idx="2">
                  <c:v>11.6892596103767</c:v>
                </c:pt>
                <c:pt idx="3">
                  <c:v>10.886130704700999</c:v>
                </c:pt>
                <c:pt idx="4">
                  <c:v>10.1082392136613</c:v>
                </c:pt>
                <c:pt idx="5">
                  <c:v>10.1082392136613</c:v>
                </c:pt>
                <c:pt idx="6">
                  <c:v>13.052513048256399</c:v>
                </c:pt>
                <c:pt idx="7">
                  <c:v>26.130180979969399</c:v>
                </c:pt>
              </c:numCache>
            </c:numRef>
          </c:val>
          <c:extLst xmlns:c16r2="http://schemas.microsoft.com/office/drawing/2015/06/chart">
            <c:ext xmlns:c16="http://schemas.microsoft.com/office/drawing/2014/chart" uri="{C3380CC4-5D6E-409C-BE32-E72D297353CC}">
              <c16:uniqueId val="{00000000-C1E3-4CF0-8C59-EFE5B69DF982}"/>
            </c:ext>
          </c:extLst>
        </c:ser>
        <c:dLbls>
          <c:dLblPos val="outEnd"/>
          <c:showLegendKey val="0"/>
          <c:showVal val="1"/>
          <c:showCatName val="0"/>
          <c:showSerName val="0"/>
          <c:showPercent val="0"/>
          <c:showBubbleSize val="0"/>
        </c:dLbls>
        <c:gapWidth val="182"/>
        <c:axId val="469896752"/>
        <c:axId val="469897144"/>
      </c:barChart>
      <c:catAx>
        <c:axId val="4698967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7144"/>
        <c:crosses val="autoZero"/>
        <c:auto val="1"/>
        <c:lblAlgn val="ctr"/>
        <c:lblOffset val="100"/>
        <c:noMultiLvlLbl val="0"/>
      </c:catAx>
      <c:valAx>
        <c:axId val="469897144"/>
        <c:scaling>
          <c:orientation val="minMax"/>
          <c:min val="10"/>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6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New'!$B$4</c:f>
              <c:strCache>
                <c:ptCount val="1"/>
                <c:pt idx="0">
                  <c:v>Draft</c:v>
                </c:pt>
              </c:strCache>
            </c:strRef>
          </c:tx>
          <c:spPr>
            <a:solidFill>
              <a:schemeClr val="accent1">
                <a:shade val="47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New'!$C$4:$I$4</c:f>
              <c:numCache>
                <c:formatCode>General</c:formatCode>
                <c:ptCount val="7"/>
                <c:pt idx="0">
                  <c:v>5400</c:v>
                </c:pt>
                <c:pt idx="1">
                  <c:v>5400</c:v>
                </c:pt>
                <c:pt idx="2">
                  <c:v>5398.35</c:v>
                </c:pt>
                <c:pt idx="3">
                  <c:v>5177.07</c:v>
                </c:pt>
                <c:pt idx="4">
                  <c:v>3574.3</c:v>
                </c:pt>
                <c:pt idx="5" formatCode="0.00">
                  <c:v>2634.24</c:v>
                </c:pt>
                <c:pt idx="6">
                  <c:v>2247.31</c:v>
                </c:pt>
              </c:numCache>
            </c:numRef>
          </c:val>
          <c:extLst xmlns:c16r2="http://schemas.microsoft.com/office/drawing/2015/06/chart">
            <c:ext xmlns:c16="http://schemas.microsoft.com/office/drawing/2014/chart" uri="{C3380CC4-5D6E-409C-BE32-E72D297353CC}">
              <c16:uniqueId val="{00000000-3959-41BC-8792-7DE23097AEBB}"/>
            </c:ext>
          </c:extLst>
        </c:ser>
        <c:ser>
          <c:idx val="1"/>
          <c:order val="1"/>
          <c:tx>
            <c:strRef>
              <c:f>'Old &amp; New'!$B$5</c:f>
              <c:strCache>
                <c:ptCount val="1"/>
                <c:pt idx="0">
                  <c:v>BPM</c:v>
                </c:pt>
              </c:strCache>
            </c:strRef>
          </c:tx>
          <c:spPr>
            <a:solidFill>
              <a:schemeClr val="accent1">
                <a:shade val="65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New'!$C$5:$I$5</c:f>
              <c:numCache>
                <c:formatCode>General</c:formatCode>
                <c:ptCount val="7"/>
                <c:pt idx="0">
                  <c:v>5400</c:v>
                </c:pt>
                <c:pt idx="1">
                  <c:v>5400</c:v>
                </c:pt>
                <c:pt idx="2">
                  <c:v>5396.8</c:v>
                </c:pt>
                <c:pt idx="3">
                  <c:v>5065.34</c:v>
                </c:pt>
                <c:pt idx="4">
                  <c:v>3561.31</c:v>
                </c:pt>
                <c:pt idx="5" formatCode="0.00">
                  <c:v>2659.74</c:v>
                </c:pt>
                <c:pt idx="6">
                  <c:v>2247.6</c:v>
                </c:pt>
              </c:numCache>
            </c:numRef>
          </c:val>
          <c:extLst xmlns:c16r2="http://schemas.microsoft.com/office/drawing/2015/06/chart">
            <c:ext xmlns:c16="http://schemas.microsoft.com/office/drawing/2014/chart" uri="{C3380CC4-5D6E-409C-BE32-E72D297353CC}">
              <c16:uniqueId val="{00000001-3959-41BC-8792-7DE23097AEBB}"/>
            </c:ext>
          </c:extLst>
        </c:ser>
        <c:ser>
          <c:idx val="2"/>
          <c:order val="2"/>
          <c:tx>
            <c:strRef>
              <c:f>'Old &amp; New'!$B$6</c:f>
              <c:strCache>
                <c:ptCount val="1"/>
                <c:pt idx="0">
                  <c:v>TTC</c:v>
                </c:pt>
              </c:strCache>
            </c:strRef>
          </c:tx>
          <c:spPr>
            <a:solidFill>
              <a:schemeClr val="accent1">
                <a:shade val="82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New'!$C$6:$I$6</c:f>
              <c:numCache>
                <c:formatCode>General</c:formatCode>
                <c:ptCount val="7"/>
                <c:pt idx="0">
                  <c:v>5400</c:v>
                </c:pt>
                <c:pt idx="1">
                  <c:v>5400</c:v>
                </c:pt>
                <c:pt idx="2">
                  <c:v>5398.06</c:v>
                </c:pt>
                <c:pt idx="3">
                  <c:v>5161.29</c:v>
                </c:pt>
                <c:pt idx="4">
                  <c:v>3571.91</c:v>
                </c:pt>
                <c:pt idx="5" formatCode="0.00">
                  <c:v>2634.75</c:v>
                </c:pt>
                <c:pt idx="6">
                  <c:v>2246.37</c:v>
                </c:pt>
              </c:numCache>
            </c:numRef>
          </c:val>
          <c:extLst xmlns:c16r2="http://schemas.microsoft.com/office/drawing/2015/06/chart">
            <c:ext xmlns:c16="http://schemas.microsoft.com/office/drawing/2014/chart" uri="{C3380CC4-5D6E-409C-BE32-E72D297353CC}">
              <c16:uniqueId val="{00000002-3959-41BC-8792-7DE23097AEBB}"/>
            </c:ext>
          </c:extLst>
        </c:ser>
        <c:ser>
          <c:idx val="3"/>
          <c:order val="3"/>
          <c:tx>
            <c:strRef>
              <c:f>'Old &amp; New'!$B$7</c:f>
              <c:strCache>
                <c:ptCount val="1"/>
                <c:pt idx="0">
                  <c:v>SP</c:v>
                </c:pt>
              </c:strCache>
            </c:strRef>
          </c:tx>
          <c:spPr>
            <a:solidFill>
              <a:schemeClr val="accent1"/>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New'!$C$7:$I$7</c:f>
              <c:numCache>
                <c:formatCode>General</c:formatCode>
                <c:ptCount val="7"/>
                <c:pt idx="0">
                  <c:v>5400</c:v>
                </c:pt>
                <c:pt idx="1">
                  <c:v>5400</c:v>
                </c:pt>
                <c:pt idx="2">
                  <c:v>5398.02</c:v>
                </c:pt>
                <c:pt idx="3">
                  <c:v>5163.4399999999996</c:v>
                </c:pt>
                <c:pt idx="4">
                  <c:v>3571.42</c:v>
                </c:pt>
                <c:pt idx="5" formatCode="0.00">
                  <c:v>2634.84</c:v>
                </c:pt>
                <c:pt idx="6">
                  <c:v>2246.27</c:v>
                </c:pt>
              </c:numCache>
            </c:numRef>
          </c:val>
          <c:extLst xmlns:c16r2="http://schemas.microsoft.com/office/drawing/2015/06/chart">
            <c:ext xmlns:c16="http://schemas.microsoft.com/office/drawing/2014/chart" uri="{C3380CC4-5D6E-409C-BE32-E72D297353CC}">
              <c16:uniqueId val="{00000003-3959-41BC-8792-7DE23097AEBB}"/>
            </c:ext>
          </c:extLst>
        </c:ser>
        <c:ser>
          <c:idx val="4"/>
          <c:order val="4"/>
          <c:tx>
            <c:strRef>
              <c:f>'Old &amp; New'!$B$8</c:f>
              <c:strCache>
                <c:ptCount val="1"/>
                <c:pt idx="0">
                  <c:v>OC</c:v>
                </c:pt>
              </c:strCache>
            </c:strRef>
          </c:tx>
          <c:spPr>
            <a:solidFill>
              <a:schemeClr val="accent1">
                <a:tint val="83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New'!$C$8:$I$8</c:f>
              <c:numCache>
                <c:formatCode>General</c:formatCode>
                <c:ptCount val="7"/>
                <c:pt idx="0">
                  <c:v>5400</c:v>
                </c:pt>
                <c:pt idx="1">
                  <c:v>5400</c:v>
                </c:pt>
                <c:pt idx="2">
                  <c:v>5400</c:v>
                </c:pt>
                <c:pt idx="3">
                  <c:v>5382.03</c:v>
                </c:pt>
                <c:pt idx="4">
                  <c:v>3746.41</c:v>
                </c:pt>
                <c:pt idx="5" formatCode="0.00">
                  <c:v>2678.58</c:v>
                </c:pt>
                <c:pt idx="6">
                  <c:v>2247.6</c:v>
                </c:pt>
              </c:numCache>
            </c:numRef>
          </c:val>
          <c:extLst xmlns:c16r2="http://schemas.microsoft.com/office/drawing/2015/06/chart">
            <c:ext xmlns:c16="http://schemas.microsoft.com/office/drawing/2014/chart" uri="{C3380CC4-5D6E-409C-BE32-E72D297353CC}">
              <c16:uniqueId val="{00000004-3959-41BC-8792-7DE23097AEBB}"/>
            </c:ext>
          </c:extLst>
        </c:ser>
        <c:ser>
          <c:idx val="5"/>
          <c:order val="5"/>
          <c:tx>
            <c:strRef>
              <c:f>'Old &amp; New'!$B$9</c:f>
              <c:strCache>
                <c:ptCount val="1"/>
                <c:pt idx="0">
                  <c:v>TTC-O</c:v>
                </c:pt>
              </c:strCache>
            </c:strRef>
          </c:tx>
          <c:spPr>
            <a:solidFill>
              <a:schemeClr val="accent1">
                <a:tint val="65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New'!$C$9:$I$9</c:f>
              <c:numCache>
                <c:formatCode>General</c:formatCode>
                <c:ptCount val="7"/>
                <c:pt idx="0">
                  <c:v>5400</c:v>
                </c:pt>
                <c:pt idx="1">
                  <c:v>5400</c:v>
                </c:pt>
                <c:pt idx="2">
                  <c:v>5399.03</c:v>
                </c:pt>
                <c:pt idx="3">
                  <c:v>5232.95</c:v>
                </c:pt>
                <c:pt idx="4">
                  <c:v>3584.07</c:v>
                </c:pt>
                <c:pt idx="5" formatCode="0.00">
                  <c:v>2642.68</c:v>
                </c:pt>
                <c:pt idx="6">
                  <c:v>2245.7399999999998</c:v>
                </c:pt>
              </c:numCache>
            </c:numRef>
          </c:val>
          <c:extLst xmlns:c16r2="http://schemas.microsoft.com/office/drawing/2015/06/chart">
            <c:ext xmlns:c16="http://schemas.microsoft.com/office/drawing/2014/chart" uri="{C3380CC4-5D6E-409C-BE32-E72D297353CC}">
              <c16:uniqueId val="{00000005-3959-41BC-8792-7DE23097AEBB}"/>
            </c:ext>
          </c:extLst>
        </c:ser>
        <c:ser>
          <c:idx val="6"/>
          <c:order val="6"/>
          <c:tx>
            <c:strRef>
              <c:f>'Old &amp; New'!$B$10</c:f>
              <c:strCache>
                <c:ptCount val="1"/>
                <c:pt idx="0">
                  <c:v>SP-O</c:v>
                </c:pt>
              </c:strCache>
            </c:strRef>
          </c:tx>
          <c:spPr>
            <a:solidFill>
              <a:schemeClr val="accent1">
                <a:tint val="48000"/>
              </a:schemeClr>
            </a:solidFill>
            <a:ln>
              <a:noFill/>
            </a:ln>
            <a:effectLst/>
          </c:spPr>
          <c:invertIfNegative val="0"/>
          <c:cat>
            <c:numRef>
              <c:f>'Old &amp; New'!$C$3:$I$3</c:f>
              <c:numCache>
                <c:formatCode>General</c:formatCode>
                <c:ptCount val="7"/>
                <c:pt idx="0">
                  <c:v>0</c:v>
                </c:pt>
                <c:pt idx="1">
                  <c:v>0.1</c:v>
                </c:pt>
                <c:pt idx="2">
                  <c:v>0.25</c:v>
                </c:pt>
                <c:pt idx="3">
                  <c:v>0.5</c:v>
                </c:pt>
                <c:pt idx="4">
                  <c:v>0.75</c:v>
                </c:pt>
                <c:pt idx="5">
                  <c:v>0.9</c:v>
                </c:pt>
                <c:pt idx="6">
                  <c:v>1</c:v>
                </c:pt>
              </c:numCache>
            </c:numRef>
          </c:cat>
          <c:val>
            <c:numRef>
              <c:f>'Old &amp; New'!$C$10:$I$10</c:f>
              <c:numCache>
                <c:formatCode>General</c:formatCode>
                <c:ptCount val="7"/>
                <c:pt idx="0">
                  <c:v>5400</c:v>
                </c:pt>
                <c:pt idx="1">
                  <c:v>5400</c:v>
                </c:pt>
                <c:pt idx="2">
                  <c:v>5399.03</c:v>
                </c:pt>
                <c:pt idx="3">
                  <c:v>5232.96</c:v>
                </c:pt>
                <c:pt idx="4">
                  <c:v>3584.09</c:v>
                </c:pt>
                <c:pt idx="5" formatCode="0.00">
                  <c:v>2642.69</c:v>
                </c:pt>
                <c:pt idx="6">
                  <c:v>2245.7399999999998</c:v>
                </c:pt>
              </c:numCache>
            </c:numRef>
          </c:val>
          <c:extLst xmlns:c16r2="http://schemas.microsoft.com/office/drawing/2015/06/chart">
            <c:ext xmlns:c16="http://schemas.microsoft.com/office/drawing/2014/chart" uri="{C3380CC4-5D6E-409C-BE32-E72D297353CC}">
              <c16:uniqueId val="{00000006-3959-41BC-8792-7DE23097AEBB}"/>
            </c:ext>
          </c:extLst>
        </c:ser>
        <c:dLbls>
          <c:showLegendKey val="0"/>
          <c:showVal val="0"/>
          <c:showCatName val="0"/>
          <c:showSerName val="0"/>
          <c:showPercent val="0"/>
          <c:showBubbleSize val="0"/>
        </c:dLbls>
        <c:gapWidth val="219"/>
        <c:overlap val="-27"/>
        <c:axId val="469888128"/>
        <c:axId val="469887344"/>
      </c:barChart>
      <c:catAx>
        <c:axId val="46988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7344"/>
        <c:crosses val="autoZero"/>
        <c:auto val="1"/>
        <c:lblAlgn val="ctr"/>
        <c:lblOffset val="100"/>
        <c:noMultiLvlLbl val="0"/>
      </c:catAx>
      <c:valAx>
        <c:axId val="469887344"/>
        <c:scaling>
          <c:orientation val="minMax"/>
          <c:min val="15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74825021872265"/>
          <c:y val="3.7037037037037035E-2"/>
          <c:w val="0.81102952755905511"/>
          <c:h val="0.73577136191309422"/>
        </c:manualLayout>
      </c:layout>
      <c:barChart>
        <c:barDir val="bar"/>
        <c:grouping val="clustered"/>
        <c:varyColors val="0"/>
        <c:ser>
          <c:idx val="1"/>
          <c:order val="1"/>
          <c:tx>
            <c:strRef>
              <c:f>'4 Wh'!$A$5</c:f>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Wh'!$B$3:$H$3</c:f>
              <c:strCache>
                <c:ptCount val="7"/>
                <c:pt idx="0">
                  <c:v>Draft</c:v>
                </c:pt>
                <c:pt idx="1">
                  <c:v>BPM</c:v>
                </c:pt>
                <c:pt idx="2">
                  <c:v>TTC</c:v>
                </c:pt>
                <c:pt idx="3">
                  <c:v>SP</c:v>
                </c:pt>
                <c:pt idx="4">
                  <c:v>TTC-O</c:v>
                </c:pt>
                <c:pt idx="5">
                  <c:v>SP-O</c:v>
                </c:pt>
                <c:pt idx="6">
                  <c:v>OC</c:v>
                </c:pt>
              </c:strCache>
            </c:strRef>
          </c:cat>
          <c:val>
            <c:numRef>
              <c:f>'4 Wh'!$B$5:$H$5</c:f>
              <c:numCache>
                <c:formatCode>0.00</c:formatCode>
                <c:ptCount val="7"/>
                <c:pt idx="0">
                  <c:v>0.69609534067140399</c:v>
                </c:pt>
                <c:pt idx="1">
                  <c:v>13.743053948079901</c:v>
                </c:pt>
                <c:pt idx="2">
                  <c:v>1.0060417191042399</c:v>
                </c:pt>
                <c:pt idx="3">
                  <c:v>0.65842392910427305</c:v>
                </c:pt>
                <c:pt idx="4">
                  <c:v>0.95157404966124903</c:v>
                </c:pt>
                <c:pt idx="5">
                  <c:v>0.94799930500015395</c:v>
                </c:pt>
                <c:pt idx="6">
                  <c:v>1.1185986067246101</c:v>
                </c:pt>
              </c:numCache>
            </c:numRef>
          </c:val>
          <c:extLst xmlns:c16r2="http://schemas.microsoft.com/office/drawing/2015/06/chart">
            <c:ext xmlns:c16="http://schemas.microsoft.com/office/drawing/2014/chart" uri="{C3380CC4-5D6E-409C-BE32-E72D297353CC}">
              <c16:uniqueId val="{00000000-7CFC-4E9C-BA24-A3064DF931A4}"/>
            </c:ext>
          </c:extLst>
        </c:ser>
        <c:dLbls>
          <c:dLblPos val="outEnd"/>
          <c:showLegendKey val="0"/>
          <c:showVal val="1"/>
          <c:showCatName val="0"/>
          <c:showSerName val="0"/>
          <c:showPercent val="0"/>
          <c:showBubbleSize val="0"/>
        </c:dLbls>
        <c:gapWidth val="182"/>
        <c:axId val="538273376"/>
        <c:axId val="538283176"/>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Wh'!$A$4</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Wh'!$B$4:$H$4</c15:sqref>
                        </c15:formulaRef>
                      </c:ext>
                    </c:extLst>
                    <c:numCache>
                      <c:formatCode>0.00</c:formatCode>
                      <c:ptCount val="7"/>
                      <c:pt idx="0">
                        <c:v>1.8714821658034899</c:v>
                      </c:pt>
                      <c:pt idx="1">
                        <c:v>9.7053184624581199</c:v>
                      </c:pt>
                      <c:pt idx="2">
                        <c:v>1.97599478177732</c:v>
                      </c:pt>
                      <c:pt idx="3">
                        <c:v>1.33058663755774</c:v>
                      </c:pt>
                      <c:pt idx="4">
                        <c:v>1.6953138349168</c:v>
                      </c:pt>
                      <c:pt idx="5">
                        <c:v>1.6953186224019401</c:v>
                      </c:pt>
                      <c:pt idx="6">
                        <c:v>1.2528971844936001</c:v>
                      </c:pt>
                    </c:numCache>
                  </c:numRef>
                </c:val>
                <c:extLst xmlns:c16r2="http://schemas.microsoft.com/office/drawing/2015/06/chart">
                  <c:ext xmlns:c16="http://schemas.microsoft.com/office/drawing/2014/chart" uri="{C3380CC4-5D6E-409C-BE32-E72D297353CC}">
                    <c16:uniqueId val="{00000001-7CFC-4E9C-BA24-A3064DF931A4}"/>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Wh'!$A$6</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Wh'!$B$6:$H$6</c15:sqref>
                        </c15:formulaRef>
                      </c:ext>
                    </c:extLst>
                    <c:numCache>
                      <c:formatCode>0.00</c:formatCode>
                      <c:ptCount val="7"/>
                      <c:pt idx="0">
                        <c:v>0.12663131103285399</c:v>
                      </c:pt>
                      <c:pt idx="1">
                        <c:v>13.375202492051301</c:v>
                      </c:pt>
                      <c:pt idx="2">
                        <c:v>0.56313438054109999</c:v>
                      </c:pt>
                      <c:pt idx="3">
                        <c:v>0.51047838664357803</c:v>
                      </c:pt>
                      <c:pt idx="4">
                        <c:v>0.28175608538229302</c:v>
                      </c:pt>
                      <c:pt idx="5">
                        <c:v>0.28175608538229302</c:v>
                      </c:pt>
                      <c:pt idx="6">
                        <c:v>0.84799696860921903</c:v>
                      </c:pt>
                    </c:numCache>
                  </c:numRef>
                </c:val>
                <c:extLst xmlns:c15="http://schemas.microsoft.com/office/drawing/2012/chart" xmlns:c16r2="http://schemas.microsoft.com/office/drawing/2015/06/chart">
                  <c:ext xmlns:c16="http://schemas.microsoft.com/office/drawing/2014/chart" uri="{C3380CC4-5D6E-409C-BE32-E72D297353CC}">
                    <c16:uniqueId val="{00000002-7CFC-4E9C-BA24-A3064DF931A4}"/>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Wh'!$A$7</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Wh'!$B$7:$H$7</c15:sqref>
                        </c15:formulaRef>
                      </c:ext>
                    </c:extLst>
                    <c:numCache>
                      <c:formatCode>0.00</c:formatCode>
                      <c:ptCount val="7"/>
                      <c:pt idx="0">
                        <c:v>0</c:v>
                      </c:pt>
                      <c:pt idx="1">
                        <c:v>10.4163861168423</c:v>
                      </c:pt>
                      <c:pt idx="2">
                        <c:v>0</c:v>
                      </c:pt>
                      <c:pt idx="3">
                        <c:v>0.35136016072509402</c:v>
                      </c:pt>
                      <c:pt idx="4">
                        <c:v>0</c:v>
                      </c:pt>
                      <c:pt idx="5">
                        <c:v>0</c:v>
                      </c:pt>
                      <c:pt idx="6">
                        <c:v>0.66391563821280397</c:v>
                      </c:pt>
                    </c:numCache>
                  </c:numRef>
                </c:val>
                <c:extLst xmlns:c15="http://schemas.microsoft.com/office/drawing/2012/chart" xmlns:c16r2="http://schemas.microsoft.com/office/drawing/2015/06/chart">
                  <c:ext xmlns:c16="http://schemas.microsoft.com/office/drawing/2014/chart" uri="{C3380CC4-5D6E-409C-BE32-E72D297353CC}">
                    <c16:uniqueId val="{00000003-7CFC-4E9C-BA24-A3064DF931A4}"/>
                  </c:ext>
                </c:extLst>
              </c15:ser>
            </c15:filteredBarSeries>
          </c:ext>
        </c:extLst>
      </c:barChart>
      <c:catAx>
        <c:axId val="5382733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3176"/>
        <c:crosses val="autoZero"/>
        <c:auto val="1"/>
        <c:lblAlgn val="ctr"/>
        <c:lblOffset val="100"/>
        <c:noMultiLvlLbl val="0"/>
      </c:catAx>
      <c:valAx>
        <c:axId val="53828317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3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New'!$B$14</c:f>
              <c:strCache>
                <c:ptCount val="1"/>
                <c:pt idx="0">
                  <c:v>Draft</c:v>
                </c:pt>
              </c:strCache>
            </c:strRef>
          </c:tx>
          <c:spPr>
            <a:solidFill>
              <a:schemeClr val="accent1">
                <a:shade val="47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New'!$C$14:$I$14</c:f>
              <c:numCache>
                <c:formatCode>General</c:formatCode>
                <c:ptCount val="7"/>
                <c:pt idx="0">
                  <c:v>0</c:v>
                </c:pt>
                <c:pt idx="1">
                  <c:v>0</c:v>
                </c:pt>
                <c:pt idx="2">
                  <c:v>0.17</c:v>
                </c:pt>
                <c:pt idx="3">
                  <c:v>2.0099999999999998</c:v>
                </c:pt>
                <c:pt idx="4">
                  <c:v>3.88</c:v>
                </c:pt>
                <c:pt idx="5" formatCode="0.00">
                  <c:v>4</c:v>
                </c:pt>
                <c:pt idx="6">
                  <c:v>4.01</c:v>
                </c:pt>
              </c:numCache>
            </c:numRef>
          </c:val>
          <c:extLst xmlns:c16r2="http://schemas.microsoft.com/office/drawing/2015/06/chart">
            <c:ext xmlns:c16="http://schemas.microsoft.com/office/drawing/2014/chart" uri="{C3380CC4-5D6E-409C-BE32-E72D297353CC}">
              <c16:uniqueId val="{00000000-5D74-4C89-9290-AE1209A97C73}"/>
            </c:ext>
          </c:extLst>
        </c:ser>
        <c:ser>
          <c:idx val="1"/>
          <c:order val="1"/>
          <c:tx>
            <c:strRef>
              <c:f>'Old &amp; New'!$B$15</c:f>
              <c:strCache>
                <c:ptCount val="1"/>
                <c:pt idx="0">
                  <c:v>BPM</c:v>
                </c:pt>
              </c:strCache>
            </c:strRef>
          </c:tx>
          <c:spPr>
            <a:solidFill>
              <a:schemeClr val="accent1">
                <a:shade val="65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New'!$C$15:$I$15</c:f>
              <c:numCache>
                <c:formatCode>General</c:formatCode>
                <c:ptCount val="7"/>
                <c:pt idx="0">
                  <c:v>0</c:v>
                </c:pt>
                <c:pt idx="1">
                  <c:v>0</c:v>
                </c:pt>
                <c:pt idx="2">
                  <c:v>0.4</c:v>
                </c:pt>
                <c:pt idx="3">
                  <c:v>4.9400000000000004</c:v>
                </c:pt>
                <c:pt idx="4">
                  <c:v>6</c:v>
                </c:pt>
                <c:pt idx="5" formatCode="0.00">
                  <c:v>6</c:v>
                </c:pt>
                <c:pt idx="6">
                  <c:v>6</c:v>
                </c:pt>
              </c:numCache>
            </c:numRef>
          </c:val>
          <c:extLst xmlns:c16r2="http://schemas.microsoft.com/office/drawing/2015/06/chart">
            <c:ext xmlns:c16="http://schemas.microsoft.com/office/drawing/2014/chart" uri="{C3380CC4-5D6E-409C-BE32-E72D297353CC}">
              <c16:uniqueId val="{00000001-5D74-4C89-9290-AE1209A97C73}"/>
            </c:ext>
          </c:extLst>
        </c:ser>
        <c:ser>
          <c:idx val="2"/>
          <c:order val="2"/>
          <c:tx>
            <c:strRef>
              <c:f>'Old &amp; New'!$B$16</c:f>
              <c:strCache>
                <c:ptCount val="1"/>
                <c:pt idx="0">
                  <c:v>TTC</c:v>
                </c:pt>
              </c:strCache>
            </c:strRef>
          </c:tx>
          <c:spPr>
            <a:solidFill>
              <a:schemeClr val="accent1">
                <a:shade val="82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New'!$C$16:$I$16</c:f>
              <c:numCache>
                <c:formatCode>General</c:formatCode>
                <c:ptCount val="7"/>
                <c:pt idx="0">
                  <c:v>0</c:v>
                </c:pt>
                <c:pt idx="1">
                  <c:v>0</c:v>
                </c:pt>
                <c:pt idx="2">
                  <c:v>0.26</c:v>
                </c:pt>
                <c:pt idx="3">
                  <c:v>2.11</c:v>
                </c:pt>
                <c:pt idx="4">
                  <c:v>3.89</c:v>
                </c:pt>
                <c:pt idx="5" formatCode="0.00">
                  <c:v>4</c:v>
                </c:pt>
                <c:pt idx="6">
                  <c:v>4</c:v>
                </c:pt>
              </c:numCache>
            </c:numRef>
          </c:val>
          <c:extLst xmlns:c16r2="http://schemas.microsoft.com/office/drawing/2015/06/chart">
            <c:ext xmlns:c16="http://schemas.microsoft.com/office/drawing/2014/chart" uri="{C3380CC4-5D6E-409C-BE32-E72D297353CC}">
              <c16:uniqueId val="{00000002-5D74-4C89-9290-AE1209A97C73}"/>
            </c:ext>
          </c:extLst>
        </c:ser>
        <c:ser>
          <c:idx val="3"/>
          <c:order val="3"/>
          <c:tx>
            <c:strRef>
              <c:f>'Old &amp; New'!$B$17</c:f>
              <c:strCache>
                <c:ptCount val="1"/>
                <c:pt idx="0">
                  <c:v>SP</c:v>
                </c:pt>
              </c:strCache>
            </c:strRef>
          </c:tx>
          <c:spPr>
            <a:solidFill>
              <a:schemeClr val="accent1"/>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New'!$C$17:$I$17</c:f>
              <c:numCache>
                <c:formatCode>General</c:formatCode>
                <c:ptCount val="7"/>
                <c:pt idx="0">
                  <c:v>0</c:v>
                </c:pt>
                <c:pt idx="1">
                  <c:v>0</c:v>
                </c:pt>
                <c:pt idx="2">
                  <c:v>0.26</c:v>
                </c:pt>
                <c:pt idx="3">
                  <c:v>2.1</c:v>
                </c:pt>
                <c:pt idx="4">
                  <c:v>3.92</c:v>
                </c:pt>
                <c:pt idx="5" formatCode="0.00">
                  <c:v>4</c:v>
                </c:pt>
                <c:pt idx="6">
                  <c:v>4</c:v>
                </c:pt>
              </c:numCache>
            </c:numRef>
          </c:val>
          <c:extLst xmlns:c16r2="http://schemas.microsoft.com/office/drawing/2015/06/chart">
            <c:ext xmlns:c16="http://schemas.microsoft.com/office/drawing/2014/chart" uri="{C3380CC4-5D6E-409C-BE32-E72D297353CC}">
              <c16:uniqueId val="{00000003-5D74-4C89-9290-AE1209A97C73}"/>
            </c:ext>
          </c:extLst>
        </c:ser>
        <c:ser>
          <c:idx val="4"/>
          <c:order val="4"/>
          <c:tx>
            <c:strRef>
              <c:f>'Old &amp; New'!$B$18</c:f>
              <c:strCache>
                <c:ptCount val="1"/>
                <c:pt idx="0">
                  <c:v>OC</c:v>
                </c:pt>
              </c:strCache>
            </c:strRef>
          </c:tx>
          <c:spPr>
            <a:solidFill>
              <a:schemeClr val="accent1">
                <a:tint val="83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New'!$C$18:$I$18</c:f>
              <c:numCache>
                <c:formatCode>General</c:formatCode>
                <c:ptCount val="7"/>
                <c:pt idx="0">
                  <c:v>0</c:v>
                </c:pt>
                <c:pt idx="1">
                  <c:v>0</c:v>
                </c:pt>
                <c:pt idx="2">
                  <c:v>0</c:v>
                </c:pt>
                <c:pt idx="3">
                  <c:v>5.9999999999999602E-2</c:v>
                </c:pt>
                <c:pt idx="4">
                  <c:v>5.62</c:v>
                </c:pt>
                <c:pt idx="5" formatCode="0.00">
                  <c:v>6</c:v>
                </c:pt>
                <c:pt idx="6">
                  <c:v>6</c:v>
                </c:pt>
              </c:numCache>
            </c:numRef>
          </c:val>
          <c:extLst xmlns:c16r2="http://schemas.microsoft.com/office/drawing/2015/06/chart">
            <c:ext xmlns:c16="http://schemas.microsoft.com/office/drawing/2014/chart" uri="{C3380CC4-5D6E-409C-BE32-E72D297353CC}">
              <c16:uniqueId val="{00000004-5D74-4C89-9290-AE1209A97C73}"/>
            </c:ext>
          </c:extLst>
        </c:ser>
        <c:ser>
          <c:idx val="5"/>
          <c:order val="5"/>
          <c:tx>
            <c:strRef>
              <c:f>'Old &amp; New'!$B$19</c:f>
              <c:strCache>
                <c:ptCount val="1"/>
                <c:pt idx="0">
                  <c:v>TTC-O</c:v>
                </c:pt>
              </c:strCache>
            </c:strRef>
          </c:tx>
          <c:spPr>
            <a:solidFill>
              <a:schemeClr val="accent1">
                <a:tint val="65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New'!$C$19:$I$19</c:f>
              <c:numCache>
                <c:formatCode>General</c:formatCode>
                <c:ptCount val="7"/>
                <c:pt idx="0">
                  <c:v>0</c:v>
                </c:pt>
                <c:pt idx="1">
                  <c:v>0</c:v>
                </c:pt>
                <c:pt idx="2">
                  <c:v>0.04</c:v>
                </c:pt>
                <c:pt idx="3">
                  <c:v>1.73</c:v>
                </c:pt>
                <c:pt idx="4">
                  <c:v>3.01</c:v>
                </c:pt>
                <c:pt idx="5" formatCode="0.00">
                  <c:v>3.7</c:v>
                </c:pt>
                <c:pt idx="6">
                  <c:v>4</c:v>
                </c:pt>
              </c:numCache>
            </c:numRef>
          </c:val>
          <c:extLst xmlns:c16r2="http://schemas.microsoft.com/office/drawing/2015/06/chart">
            <c:ext xmlns:c16="http://schemas.microsoft.com/office/drawing/2014/chart" uri="{C3380CC4-5D6E-409C-BE32-E72D297353CC}">
              <c16:uniqueId val="{00000005-5D74-4C89-9290-AE1209A97C73}"/>
            </c:ext>
          </c:extLst>
        </c:ser>
        <c:ser>
          <c:idx val="6"/>
          <c:order val="6"/>
          <c:tx>
            <c:strRef>
              <c:f>'Old &amp; New'!$B$20</c:f>
              <c:strCache>
                <c:ptCount val="1"/>
                <c:pt idx="0">
                  <c:v>SP-O</c:v>
                </c:pt>
              </c:strCache>
            </c:strRef>
          </c:tx>
          <c:spPr>
            <a:solidFill>
              <a:schemeClr val="accent1">
                <a:tint val="48000"/>
              </a:schemeClr>
            </a:solidFill>
            <a:ln>
              <a:noFill/>
            </a:ln>
            <a:effectLst/>
          </c:spPr>
          <c:invertIfNegative val="0"/>
          <c:cat>
            <c:numRef>
              <c:f>'Old &amp; New'!$C$13:$I$13</c:f>
              <c:numCache>
                <c:formatCode>General</c:formatCode>
                <c:ptCount val="7"/>
                <c:pt idx="0">
                  <c:v>0</c:v>
                </c:pt>
                <c:pt idx="1">
                  <c:v>0.1</c:v>
                </c:pt>
                <c:pt idx="2">
                  <c:v>0.25</c:v>
                </c:pt>
                <c:pt idx="3">
                  <c:v>0.5</c:v>
                </c:pt>
                <c:pt idx="4">
                  <c:v>0.75</c:v>
                </c:pt>
                <c:pt idx="5">
                  <c:v>0.9</c:v>
                </c:pt>
                <c:pt idx="6">
                  <c:v>1</c:v>
                </c:pt>
              </c:numCache>
            </c:numRef>
          </c:cat>
          <c:val>
            <c:numRef>
              <c:f>'Old &amp; New'!$C$20:$I$20</c:f>
              <c:numCache>
                <c:formatCode>General</c:formatCode>
                <c:ptCount val="7"/>
                <c:pt idx="0">
                  <c:v>0</c:v>
                </c:pt>
                <c:pt idx="1">
                  <c:v>0</c:v>
                </c:pt>
                <c:pt idx="2">
                  <c:v>0.04</c:v>
                </c:pt>
                <c:pt idx="3">
                  <c:v>1.73</c:v>
                </c:pt>
                <c:pt idx="4">
                  <c:v>3.01</c:v>
                </c:pt>
                <c:pt idx="5" formatCode="0.00">
                  <c:v>3.7</c:v>
                </c:pt>
                <c:pt idx="6">
                  <c:v>4</c:v>
                </c:pt>
              </c:numCache>
            </c:numRef>
          </c:val>
          <c:extLst xmlns:c16r2="http://schemas.microsoft.com/office/drawing/2015/06/chart">
            <c:ext xmlns:c16="http://schemas.microsoft.com/office/drawing/2014/chart" uri="{C3380CC4-5D6E-409C-BE32-E72D297353CC}">
              <c16:uniqueId val="{00000006-5D74-4C89-9290-AE1209A97C73}"/>
            </c:ext>
          </c:extLst>
        </c:ser>
        <c:dLbls>
          <c:showLegendKey val="0"/>
          <c:showVal val="0"/>
          <c:showCatName val="0"/>
          <c:showSerName val="0"/>
          <c:showPercent val="0"/>
          <c:showBubbleSize val="0"/>
        </c:dLbls>
        <c:gapWidth val="219"/>
        <c:overlap val="-27"/>
        <c:axId val="469888520"/>
        <c:axId val="469884992"/>
      </c:barChart>
      <c:catAx>
        <c:axId val="469888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4992"/>
        <c:crosses val="autoZero"/>
        <c:auto val="1"/>
        <c:lblAlgn val="ctr"/>
        <c:lblOffset val="100"/>
        <c:noMultiLvlLbl val="0"/>
      </c:catAx>
      <c:valAx>
        <c:axId val="469884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8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New'!$B$25</c:f>
              <c:strCache>
                <c:ptCount val="1"/>
                <c:pt idx="0">
                  <c:v>Draft</c:v>
                </c:pt>
              </c:strCache>
            </c:strRef>
          </c:tx>
          <c:spPr>
            <a:solidFill>
              <a:schemeClr val="accent1">
                <a:shade val="47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New'!$C$25:$I$25</c:f>
              <c:numCache>
                <c:formatCode>General</c:formatCode>
                <c:ptCount val="7"/>
                <c:pt idx="0">
                  <c:v>580.07092222222195</c:v>
                </c:pt>
                <c:pt idx="1">
                  <c:v>579.70201111111101</c:v>
                </c:pt>
                <c:pt idx="2">
                  <c:v>574.78625555555595</c:v>
                </c:pt>
                <c:pt idx="3">
                  <c:v>522.76687777777795</c:v>
                </c:pt>
                <c:pt idx="4">
                  <c:v>340.03461111111102</c:v>
                </c:pt>
                <c:pt idx="5" formatCode="0.00">
                  <c:v>244.709844444444</c:v>
                </c:pt>
                <c:pt idx="6">
                  <c:v>207.18184444444401</c:v>
                </c:pt>
              </c:numCache>
            </c:numRef>
          </c:val>
          <c:extLst xmlns:c16r2="http://schemas.microsoft.com/office/drawing/2015/06/chart">
            <c:ext xmlns:c16="http://schemas.microsoft.com/office/drawing/2014/chart" uri="{C3380CC4-5D6E-409C-BE32-E72D297353CC}">
              <c16:uniqueId val="{00000000-7898-4813-8948-DFE1A38C5542}"/>
            </c:ext>
          </c:extLst>
        </c:ser>
        <c:ser>
          <c:idx val="1"/>
          <c:order val="1"/>
          <c:tx>
            <c:strRef>
              <c:f>'Old &amp; New'!$B$26</c:f>
              <c:strCache>
                <c:ptCount val="1"/>
                <c:pt idx="0">
                  <c:v>BPM</c:v>
                </c:pt>
              </c:strCache>
            </c:strRef>
          </c:tx>
          <c:spPr>
            <a:solidFill>
              <a:schemeClr val="accent1">
                <a:shade val="65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New'!$C$26:$I$26</c:f>
              <c:numCache>
                <c:formatCode>General</c:formatCode>
                <c:ptCount val="7"/>
                <c:pt idx="0">
                  <c:v>579.82315555555601</c:v>
                </c:pt>
                <c:pt idx="1">
                  <c:v>579.24912222222201</c:v>
                </c:pt>
                <c:pt idx="2">
                  <c:v>572.01542222222201</c:v>
                </c:pt>
                <c:pt idx="3">
                  <c:v>504.55676666666699</c:v>
                </c:pt>
                <c:pt idx="4">
                  <c:v>332.41008888888899</c:v>
                </c:pt>
                <c:pt idx="5" formatCode="0.00">
                  <c:v>244.81928888888899</c:v>
                </c:pt>
                <c:pt idx="6">
                  <c:v>207.20311111111101</c:v>
                </c:pt>
              </c:numCache>
            </c:numRef>
          </c:val>
          <c:extLst xmlns:c16r2="http://schemas.microsoft.com/office/drawing/2015/06/chart">
            <c:ext xmlns:c16="http://schemas.microsoft.com/office/drawing/2014/chart" uri="{C3380CC4-5D6E-409C-BE32-E72D297353CC}">
              <c16:uniqueId val="{00000001-7898-4813-8948-DFE1A38C5542}"/>
            </c:ext>
          </c:extLst>
        </c:ser>
        <c:ser>
          <c:idx val="2"/>
          <c:order val="2"/>
          <c:tx>
            <c:strRef>
              <c:f>'Old &amp; New'!$B$27</c:f>
              <c:strCache>
                <c:ptCount val="1"/>
                <c:pt idx="0">
                  <c:v>TTC</c:v>
                </c:pt>
              </c:strCache>
            </c:strRef>
          </c:tx>
          <c:spPr>
            <a:solidFill>
              <a:schemeClr val="accent1">
                <a:shade val="82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New'!$C$27:$I$27</c:f>
              <c:numCache>
                <c:formatCode>General</c:formatCode>
                <c:ptCount val="7"/>
                <c:pt idx="0">
                  <c:v>580.069433333333</c:v>
                </c:pt>
                <c:pt idx="1">
                  <c:v>579.70395555555604</c:v>
                </c:pt>
                <c:pt idx="2">
                  <c:v>574.80071111111101</c:v>
                </c:pt>
                <c:pt idx="3">
                  <c:v>522.31103333333294</c:v>
                </c:pt>
                <c:pt idx="4">
                  <c:v>341.87097777777802</c:v>
                </c:pt>
                <c:pt idx="5" formatCode="0.00">
                  <c:v>246.38845555555599</c:v>
                </c:pt>
                <c:pt idx="6">
                  <c:v>207.112911111111</c:v>
                </c:pt>
              </c:numCache>
            </c:numRef>
          </c:val>
          <c:extLst xmlns:c16r2="http://schemas.microsoft.com/office/drawing/2015/06/chart">
            <c:ext xmlns:c16="http://schemas.microsoft.com/office/drawing/2014/chart" uri="{C3380CC4-5D6E-409C-BE32-E72D297353CC}">
              <c16:uniqueId val="{00000002-7898-4813-8948-DFE1A38C5542}"/>
            </c:ext>
          </c:extLst>
        </c:ser>
        <c:ser>
          <c:idx val="3"/>
          <c:order val="3"/>
          <c:tx>
            <c:strRef>
              <c:f>'Old &amp; New'!$B$28</c:f>
              <c:strCache>
                <c:ptCount val="1"/>
                <c:pt idx="0">
                  <c:v>SP</c:v>
                </c:pt>
              </c:strCache>
            </c:strRef>
          </c:tx>
          <c:spPr>
            <a:solidFill>
              <a:schemeClr val="accent1"/>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New'!$C$28:$I$28</c:f>
              <c:numCache>
                <c:formatCode>General</c:formatCode>
                <c:ptCount val="7"/>
                <c:pt idx="0">
                  <c:v>580.06855555555603</c:v>
                </c:pt>
                <c:pt idx="1">
                  <c:v>579.70116666666695</c:v>
                </c:pt>
                <c:pt idx="2">
                  <c:v>574.77918888888905</c:v>
                </c:pt>
                <c:pt idx="3">
                  <c:v>522.29505555555602</c:v>
                </c:pt>
                <c:pt idx="4">
                  <c:v>341.61671111111099</c:v>
                </c:pt>
                <c:pt idx="5" formatCode="0.00">
                  <c:v>246.26164444444399</c:v>
                </c:pt>
                <c:pt idx="6">
                  <c:v>207.105577777778</c:v>
                </c:pt>
              </c:numCache>
            </c:numRef>
          </c:val>
          <c:extLst xmlns:c16r2="http://schemas.microsoft.com/office/drawing/2015/06/chart">
            <c:ext xmlns:c16="http://schemas.microsoft.com/office/drawing/2014/chart" uri="{C3380CC4-5D6E-409C-BE32-E72D297353CC}">
              <c16:uniqueId val="{00000003-7898-4813-8948-DFE1A38C5542}"/>
            </c:ext>
          </c:extLst>
        </c:ser>
        <c:ser>
          <c:idx val="4"/>
          <c:order val="4"/>
          <c:tx>
            <c:strRef>
              <c:f>'Old &amp; New'!$B$29</c:f>
              <c:strCache>
                <c:ptCount val="1"/>
                <c:pt idx="0">
                  <c:v>OC</c:v>
                </c:pt>
              </c:strCache>
            </c:strRef>
          </c:tx>
          <c:spPr>
            <a:solidFill>
              <a:schemeClr val="accent1">
                <a:tint val="83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New'!$C$29:$I$29</c:f>
              <c:numCache>
                <c:formatCode>General</c:formatCode>
                <c:ptCount val="7"/>
                <c:pt idx="0">
                  <c:v>580.22381111111099</c:v>
                </c:pt>
                <c:pt idx="1">
                  <c:v>580.007833333333</c:v>
                </c:pt>
                <c:pt idx="2">
                  <c:v>577.13648888888895</c:v>
                </c:pt>
                <c:pt idx="3">
                  <c:v>548.19330000000002</c:v>
                </c:pt>
                <c:pt idx="4">
                  <c:v>359.61823333333302</c:v>
                </c:pt>
                <c:pt idx="5" formatCode="0.00">
                  <c:v>252.41532222222199</c:v>
                </c:pt>
                <c:pt idx="6">
                  <c:v>207.20311111111101</c:v>
                </c:pt>
              </c:numCache>
            </c:numRef>
          </c:val>
          <c:extLst xmlns:c16r2="http://schemas.microsoft.com/office/drawing/2015/06/chart">
            <c:ext xmlns:c16="http://schemas.microsoft.com/office/drawing/2014/chart" uri="{C3380CC4-5D6E-409C-BE32-E72D297353CC}">
              <c16:uniqueId val="{00000004-7898-4813-8948-DFE1A38C5542}"/>
            </c:ext>
          </c:extLst>
        </c:ser>
        <c:ser>
          <c:idx val="5"/>
          <c:order val="5"/>
          <c:tx>
            <c:strRef>
              <c:f>'Old &amp; New'!$B$30</c:f>
              <c:strCache>
                <c:ptCount val="1"/>
                <c:pt idx="0">
                  <c:v>TTC-O</c:v>
                </c:pt>
              </c:strCache>
            </c:strRef>
          </c:tx>
          <c:spPr>
            <a:solidFill>
              <a:schemeClr val="accent1">
                <a:tint val="65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New'!$C$30:$I$30</c:f>
              <c:numCache>
                <c:formatCode>General</c:formatCode>
                <c:ptCount val="7"/>
                <c:pt idx="0">
                  <c:v>580.11573333333297</c:v>
                </c:pt>
                <c:pt idx="1">
                  <c:v>579.78266666666696</c:v>
                </c:pt>
                <c:pt idx="2">
                  <c:v>575.24096666666696</c:v>
                </c:pt>
                <c:pt idx="3">
                  <c:v>528.46716666666703</c:v>
                </c:pt>
                <c:pt idx="4">
                  <c:v>343.81842222222201</c:v>
                </c:pt>
                <c:pt idx="5" formatCode="0.00">
                  <c:v>248.54774444444399</c:v>
                </c:pt>
                <c:pt idx="6">
                  <c:v>207.066711111111</c:v>
                </c:pt>
              </c:numCache>
            </c:numRef>
          </c:val>
          <c:extLst xmlns:c16r2="http://schemas.microsoft.com/office/drawing/2015/06/chart">
            <c:ext xmlns:c16="http://schemas.microsoft.com/office/drawing/2014/chart" uri="{C3380CC4-5D6E-409C-BE32-E72D297353CC}">
              <c16:uniqueId val="{00000005-7898-4813-8948-DFE1A38C5542}"/>
            </c:ext>
          </c:extLst>
        </c:ser>
        <c:ser>
          <c:idx val="6"/>
          <c:order val="6"/>
          <c:tx>
            <c:strRef>
              <c:f>'Old &amp; New'!$B$31</c:f>
              <c:strCache>
                <c:ptCount val="1"/>
                <c:pt idx="0">
                  <c:v>SP-O</c:v>
                </c:pt>
              </c:strCache>
            </c:strRef>
          </c:tx>
          <c:spPr>
            <a:solidFill>
              <a:schemeClr val="accent1">
                <a:tint val="48000"/>
              </a:schemeClr>
            </a:solidFill>
            <a:ln>
              <a:noFill/>
            </a:ln>
            <a:effectLst/>
          </c:spPr>
          <c:invertIfNegative val="0"/>
          <c:cat>
            <c:numRef>
              <c:f>'Old &amp; New'!$C$24:$I$24</c:f>
              <c:numCache>
                <c:formatCode>General</c:formatCode>
                <c:ptCount val="7"/>
                <c:pt idx="0">
                  <c:v>0</c:v>
                </c:pt>
                <c:pt idx="1">
                  <c:v>0.1</c:v>
                </c:pt>
                <c:pt idx="2">
                  <c:v>0.25</c:v>
                </c:pt>
                <c:pt idx="3">
                  <c:v>0.5</c:v>
                </c:pt>
                <c:pt idx="4">
                  <c:v>0.75</c:v>
                </c:pt>
                <c:pt idx="5">
                  <c:v>0.9</c:v>
                </c:pt>
                <c:pt idx="6">
                  <c:v>1</c:v>
                </c:pt>
              </c:numCache>
            </c:numRef>
          </c:cat>
          <c:val>
            <c:numRef>
              <c:f>'Old &amp; New'!$C$31:$I$31</c:f>
              <c:numCache>
                <c:formatCode>General</c:formatCode>
                <c:ptCount val="7"/>
                <c:pt idx="0">
                  <c:v>580.11573333333297</c:v>
                </c:pt>
                <c:pt idx="1">
                  <c:v>579.78266666666696</c:v>
                </c:pt>
                <c:pt idx="2">
                  <c:v>575.24094444444495</c:v>
                </c:pt>
                <c:pt idx="3">
                  <c:v>528.46781111111102</c:v>
                </c:pt>
                <c:pt idx="4">
                  <c:v>343.82017777777799</c:v>
                </c:pt>
                <c:pt idx="5" formatCode="0.00">
                  <c:v>248.54844444444399</c:v>
                </c:pt>
                <c:pt idx="6">
                  <c:v>207.066711111111</c:v>
                </c:pt>
              </c:numCache>
            </c:numRef>
          </c:val>
          <c:extLst xmlns:c16r2="http://schemas.microsoft.com/office/drawing/2015/06/chart">
            <c:ext xmlns:c16="http://schemas.microsoft.com/office/drawing/2014/chart" uri="{C3380CC4-5D6E-409C-BE32-E72D297353CC}">
              <c16:uniqueId val="{00000006-7898-4813-8948-DFE1A38C5542}"/>
            </c:ext>
          </c:extLst>
        </c:ser>
        <c:dLbls>
          <c:showLegendKey val="0"/>
          <c:showVal val="0"/>
          <c:showCatName val="0"/>
          <c:showSerName val="0"/>
          <c:showPercent val="0"/>
          <c:showBubbleSize val="0"/>
        </c:dLbls>
        <c:gapWidth val="219"/>
        <c:overlap val="-27"/>
        <c:axId val="469888912"/>
        <c:axId val="469889304"/>
      </c:barChart>
      <c:catAx>
        <c:axId val="46988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9304"/>
        <c:crosses val="autoZero"/>
        <c:auto val="1"/>
        <c:lblAlgn val="ctr"/>
        <c:lblOffset val="100"/>
        <c:noMultiLvlLbl val="0"/>
      </c:catAx>
      <c:valAx>
        <c:axId val="469889304"/>
        <c:scaling>
          <c:orientation val="minMax"/>
          <c:max val="700"/>
          <c:min val="1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8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New'!$B$45</c:f>
              <c:strCache>
                <c:ptCount val="1"/>
                <c:pt idx="0">
                  <c:v>Draft</c:v>
                </c:pt>
              </c:strCache>
            </c:strRef>
          </c:tx>
          <c:spPr>
            <a:solidFill>
              <a:schemeClr val="accent1">
                <a:shade val="47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New'!$C$45:$I$45</c:f>
              <c:numCache>
                <c:formatCode>General</c:formatCode>
                <c:ptCount val="7"/>
                <c:pt idx="0">
                  <c:v>186.53159803708601</c:v>
                </c:pt>
                <c:pt idx="1">
                  <c:v>186.35666695865399</c:v>
                </c:pt>
                <c:pt idx="2">
                  <c:v>186.09288519551501</c:v>
                </c:pt>
                <c:pt idx="3">
                  <c:v>177.84344001847001</c:v>
                </c:pt>
                <c:pt idx="4">
                  <c:v>122.239056622281</c:v>
                </c:pt>
                <c:pt idx="5" formatCode="0.00">
                  <c:v>89.8726186757074</c:v>
                </c:pt>
                <c:pt idx="6">
                  <c:v>76.500004893179195</c:v>
                </c:pt>
              </c:numCache>
            </c:numRef>
          </c:val>
          <c:extLst xmlns:c16r2="http://schemas.microsoft.com/office/drawing/2015/06/chart">
            <c:ext xmlns:c16="http://schemas.microsoft.com/office/drawing/2014/chart" uri="{C3380CC4-5D6E-409C-BE32-E72D297353CC}">
              <c16:uniqueId val="{00000000-9FA8-4F87-8EC1-A4D5B4E27001}"/>
            </c:ext>
          </c:extLst>
        </c:ser>
        <c:ser>
          <c:idx val="1"/>
          <c:order val="1"/>
          <c:tx>
            <c:strRef>
              <c:f>'Old &amp; New'!$B$46</c:f>
              <c:strCache>
                <c:ptCount val="1"/>
                <c:pt idx="0">
                  <c:v>BPM</c:v>
                </c:pt>
              </c:strCache>
            </c:strRef>
          </c:tx>
          <c:spPr>
            <a:solidFill>
              <a:schemeClr val="accent1">
                <a:shade val="65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New'!$C$46:$I$46</c:f>
              <c:numCache>
                <c:formatCode>General</c:formatCode>
                <c:ptCount val="7"/>
                <c:pt idx="0">
                  <c:v>186.52382105204001</c:v>
                </c:pt>
                <c:pt idx="1">
                  <c:v>186.343215017565</c:v>
                </c:pt>
                <c:pt idx="2">
                  <c:v>185.98401593663698</c:v>
                </c:pt>
                <c:pt idx="3">
                  <c:v>174.749085310824</c:v>
                </c:pt>
                <c:pt idx="4">
                  <c:v>124.97995540204001</c:v>
                </c:pt>
                <c:pt idx="5" formatCode="0.00">
                  <c:v>94.685813831731707</c:v>
                </c:pt>
                <c:pt idx="6">
                  <c:v>80.622329883051705</c:v>
                </c:pt>
              </c:numCache>
            </c:numRef>
          </c:val>
          <c:extLst xmlns:c16r2="http://schemas.microsoft.com/office/drawing/2015/06/chart">
            <c:ext xmlns:c16="http://schemas.microsoft.com/office/drawing/2014/chart" uri="{C3380CC4-5D6E-409C-BE32-E72D297353CC}">
              <c16:uniqueId val="{00000001-9FA8-4F87-8EC1-A4D5B4E27001}"/>
            </c:ext>
          </c:extLst>
        </c:ser>
        <c:ser>
          <c:idx val="2"/>
          <c:order val="2"/>
          <c:tx>
            <c:strRef>
              <c:f>'Old &amp; New'!$B$47</c:f>
              <c:strCache>
                <c:ptCount val="1"/>
                <c:pt idx="0">
                  <c:v>TTC</c:v>
                </c:pt>
              </c:strCache>
            </c:strRef>
          </c:tx>
          <c:spPr>
            <a:solidFill>
              <a:schemeClr val="accent1">
                <a:shade val="82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New'!$C$47:$I$47</c:f>
              <c:numCache>
                <c:formatCode>General</c:formatCode>
                <c:ptCount val="7"/>
                <c:pt idx="0">
                  <c:v>186.53185766079901</c:v>
                </c:pt>
                <c:pt idx="1">
                  <c:v>186.357176367888</c:v>
                </c:pt>
                <c:pt idx="2">
                  <c:v>186.08608864478001</c:v>
                </c:pt>
                <c:pt idx="3">
                  <c:v>177.347770453978</c:v>
                </c:pt>
                <c:pt idx="4">
                  <c:v>122.25097119627802</c:v>
                </c:pt>
                <c:pt idx="5" formatCode="0.00">
                  <c:v>90.126676770562597</c:v>
                </c:pt>
                <c:pt idx="6">
                  <c:v>77.019361093000796</c:v>
                </c:pt>
              </c:numCache>
            </c:numRef>
          </c:val>
          <c:extLst xmlns:c16r2="http://schemas.microsoft.com/office/drawing/2015/06/chart">
            <c:ext xmlns:c16="http://schemas.microsoft.com/office/drawing/2014/chart" uri="{C3380CC4-5D6E-409C-BE32-E72D297353CC}">
              <c16:uniqueId val="{00000002-9FA8-4F87-8EC1-A4D5B4E27001}"/>
            </c:ext>
          </c:extLst>
        </c:ser>
        <c:ser>
          <c:idx val="3"/>
          <c:order val="3"/>
          <c:tx>
            <c:strRef>
              <c:f>'Old &amp; New'!$B$48</c:f>
              <c:strCache>
                <c:ptCount val="1"/>
                <c:pt idx="0">
                  <c:v>SP</c:v>
                </c:pt>
              </c:strCache>
            </c:strRef>
          </c:tx>
          <c:spPr>
            <a:solidFill>
              <a:schemeClr val="accent1"/>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New'!$C$48:$I$48</c:f>
              <c:numCache>
                <c:formatCode>General</c:formatCode>
                <c:ptCount val="7"/>
                <c:pt idx="0">
                  <c:v>186.531389069846</c:v>
                </c:pt>
                <c:pt idx="1">
                  <c:v>186.35649351237402</c:v>
                </c:pt>
                <c:pt idx="2">
                  <c:v>186.08236208130103</c:v>
                </c:pt>
                <c:pt idx="3">
                  <c:v>177.39821946780199</c:v>
                </c:pt>
                <c:pt idx="4">
                  <c:v>122.206973689216</c:v>
                </c:pt>
                <c:pt idx="5" formatCode="0.00">
                  <c:v>90.114052328676891</c:v>
                </c:pt>
                <c:pt idx="6">
                  <c:v>76.956353676859294</c:v>
                </c:pt>
              </c:numCache>
            </c:numRef>
          </c:val>
          <c:extLst xmlns:c16r2="http://schemas.microsoft.com/office/drawing/2015/06/chart">
            <c:ext xmlns:c16="http://schemas.microsoft.com/office/drawing/2014/chart" uri="{C3380CC4-5D6E-409C-BE32-E72D297353CC}">
              <c16:uniqueId val="{00000003-9FA8-4F87-8EC1-A4D5B4E27001}"/>
            </c:ext>
          </c:extLst>
        </c:ser>
        <c:ser>
          <c:idx val="4"/>
          <c:order val="4"/>
          <c:tx>
            <c:strRef>
              <c:f>'Old &amp; New'!$B$49</c:f>
              <c:strCache>
                <c:ptCount val="1"/>
                <c:pt idx="0">
                  <c:v>OC</c:v>
                </c:pt>
              </c:strCache>
            </c:strRef>
          </c:tx>
          <c:spPr>
            <a:solidFill>
              <a:schemeClr val="accent1">
                <a:tint val="83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New'!$C$49:$I$49</c:f>
              <c:numCache>
                <c:formatCode>General</c:formatCode>
                <c:ptCount val="7"/>
                <c:pt idx="0">
                  <c:v>186.53341910833501</c:v>
                </c:pt>
                <c:pt idx="1">
                  <c:v>186.35958152217199</c:v>
                </c:pt>
                <c:pt idx="2">
                  <c:v>186.16349033511099</c:v>
                </c:pt>
                <c:pt idx="3">
                  <c:v>185.00040569255202</c:v>
                </c:pt>
                <c:pt idx="4">
                  <c:v>128.994123040641</c:v>
                </c:pt>
                <c:pt idx="5" formatCode="0.00">
                  <c:v>92.914415182028506</c:v>
                </c:pt>
                <c:pt idx="6">
                  <c:v>80.668067967965698</c:v>
                </c:pt>
              </c:numCache>
            </c:numRef>
          </c:val>
          <c:extLst xmlns:c16r2="http://schemas.microsoft.com/office/drawing/2015/06/chart">
            <c:ext xmlns:c16="http://schemas.microsoft.com/office/drawing/2014/chart" uri="{C3380CC4-5D6E-409C-BE32-E72D297353CC}">
              <c16:uniqueId val="{00000004-9FA8-4F87-8EC1-A4D5B4E27001}"/>
            </c:ext>
          </c:extLst>
        </c:ser>
        <c:ser>
          <c:idx val="5"/>
          <c:order val="5"/>
          <c:tx>
            <c:strRef>
              <c:f>'Old &amp; New'!$B$50</c:f>
              <c:strCache>
                <c:ptCount val="1"/>
                <c:pt idx="0">
                  <c:v>TTC-O</c:v>
                </c:pt>
              </c:strCache>
            </c:strRef>
          </c:tx>
          <c:spPr>
            <a:solidFill>
              <a:schemeClr val="accent1">
                <a:tint val="65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New'!$C$50:$I$50</c:f>
              <c:numCache>
                <c:formatCode>General</c:formatCode>
                <c:ptCount val="7"/>
                <c:pt idx="0">
                  <c:v>186.53271657442701</c:v>
                </c:pt>
                <c:pt idx="1">
                  <c:v>186.35850634942202</c:v>
                </c:pt>
                <c:pt idx="2">
                  <c:v>186.12401280343701</c:v>
                </c:pt>
                <c:pt idx="3">
                  <c:v>179.80586168532199</c:v>
                </c:pt>
                <c:pt idx="4">
                  <c:v>122.74722172087101</c:v>
                </c:pt>
                <c:pt idx="5" formatCode="0.00">
                  <c:v>90.516522913290004</c:v>
                </c:pt>
                <c:pt idx="6">
                  <c:v>77.091816456461302</c:v>
                </c:pt>
              </c:numCache>
            </c:numRef>
          </c:val>
          <c:extLst xmlns:c16r2="http://schemas.microsoft.com/office/drawing/2015/06/chart">
            <c:ext xmlns:c16="http://schemas.microsoft.com/office/drawing/2014/chart" uri="{C3380CC4-5D6E-409C-BE32-E72D297353CC}">
              <c16:uniqueId val="{00000005-9FA8-4F87-8EC1-A4D5B4E27001}"/>
            </c:ext>
          </c:extLst>
        </c:ser>
        <c:ser>
          <c:idx val="6"/>
          <c:order val="6"/>
          <c:tx>
            <c:strRef>
              <c:f>'Old &amp; New'!$B$51</c:f>
              <c:strCache>
                <c:ptCount val="1"/>
                <c:pt idx="0">
                  <c:v>SP-O</c:v>
                </c:pt>
              </c:strCache>
            </c:strRef>
          </c:tx>
          <c:spPr>
            <a:solidFill>
              <a:schemeClr val="accent1">
                <a:tint val="48000"/>
              </a:schemeClr>
            </a:solidFill>
            <a:ln>
              <a:noFill/>
            </a:ln>
            <a:effectLst/>
          </c:spPr>
          <c:invertIfNegative val="0"/>
          <c:cat>
            <c:numRef>
              <c:f>'Old &amp; New'!$C$44:$I$44</c:f>
              <c:numCache>
                <c:formatCode>General</c:formatCode>
                <c:ptCount val="7"/>
                <c:pt idx="0">
                  <c:v>0</c:v>
                </c:pt>
                <c:pt idx="1">
                  <c:v>0.1</c:v>
                </c:pt>
                <c:pt idx="2">
                  <c:v>0.25</c:v>
                </c:pt>
                <c:pt idx="3">
                  <c:v>0.5</c:v>
                </c:pt>
                <c:pt idx="4">
                  <c:v>0.75</c:v>
                </c:pt>
                <c:pt idx="5">
                  <c:v>0.9</c:v>
                </c:pt>
                <c:pt idx="6">
                  <c:v>1</c:v>
                </c:pt>
              </c:numCache>
            </c:numRef>
          </c:cat>
          <c:val>
            <c:numRef>
              <c:f>'Old &amp; New'!$C$51:$I$51</c:f>
              <c:numCache>
                <c:formatCode>General</c:formatCode>
                <c:ptCount val="7"/>
                <c:pt idx="0">
                  <c:v>186.53271657446598</c:v>
                </c:pt>
                <c:pt idx="1">
                  <c:v>186.35850634942202</c:v>
                </c:pt>
                <c:pt idx="2">
                  <c:v>186.12395784862801</c:v>
                </c:pt>
                <c:pt idx="3">
                  <c:v>179.80513643862599</c:v>
                </c:pt>
                <c:pt idx="4">
                  <c:v>122.742519270478</c:v>
                </c:pt>
                <c:pt idx="5" formatCode="0.00">
                  <c:v>90.485030887753609</c:v>
                </c:pt>
                <c:pt idx="6">
                  <c:v>76.285546367227298</c:v>
                </c:pt>
              </c:numCache>
            </c:numRef>
          </c:val>
          <c:extLst xmlns:c16r2="http://schemas.microsoft.com/office/drawing/2015/06/chart">
            <c:ext xmlns:c16="http://schemas.microsoft.com/office/drawing/2014/chart" uri="{C3380CC4-5D6E-409C-BE32-E72D297353CC}">
              <c16:uniqueId val="{00000006-9FA8-4F87-8EC1-A4D5B4E27001}"/>
            </c:ext>
          </c:extLst>
        </c:ser>
        <c:dLbls>
          <c:showLegendKey val="0"/>
          <c:showVal val="0"/>
          <c:showCatName val="0"/>
          <c:showSerName val="0"/>
          <c:showPercent val="0"/>
          <c:showBubbleSize val="0"/>
        </c:dLbls>
        <c:gapWidth val="219"/>
        <c:overlap val="-27"/>
        <c:axId val="469889696"/>
        <c:axId val="469890088"/>
      </c:barChart>
      <c:catAx>
        <c:axId val="46988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0088"/>
        <c:crosses val="autoZero"/>
        <c:auto val="1"/>
        <c:lblAlgn val="ctr"/>
        <c:lblOffset val="100"/>
        <c:noMultiLvlLbl val="0"/>
      </c:catAx>
      <c:valAx>
        <c:axId val="469890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9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New'!$B$35</c:f>
              <c:strCache>
                <c:ptCount val="1"/>
                <c:pt idx="0">
                  <c:v>Draft</c:v>
                </c:pt>
              </c:strCache>
            </c:strRef>
          </c:tx>
          <c:spPr>
            <a:solidFill>
              <a:schemeClr val="accent1">
                <a:shade val="47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New'!$C$35:$I$35</c:f>
              <c:numCache>
                <c:formatCode>General</c:formatCode>
                <c:ptCount val="7"/>
                <c:pt idx="0">
                  <c:v>25.15</c:v>
                </c:pt>
                <c:pt idx="1">
                  <c:v>26.11</c:v>
                </c:pt>
                <c:pt idx="2">
                  <c:v>48.41</c:v>
                </c:pt>
                <c:pt idx="3">
                  <c:v>209.22</c:v>
                </c:pt>
                <c:pt idx="4">
                  <c:v>312.05</c:v>
                </c:pt>
                <c:pt idx="5" formatCode="0.00">
                  <c:v>226.71</c:v>
                </c:pt>
                <c:pt idx="6">
                  <c:v>132.91999999999999</c:v>
                </c:pt>
              </c:numCache>
            </c:numRef>
          </c:val>
          <c:extLst xmlns:c16r2="http://schemas.microsoft.com/office/drawing/2015/06/chart">
            <c:ext xmlns:c16="http://schemas.microsoft.com/office/drawing/2014/chart" uri="{C3380CC4-5D6E-409C-BE32-E72D297353CC}">
              <c16:uniqueId val="{00000000-B3A7-4D84-83C9-02BAF1B9A312}"/>
            </c:ext>
          </c:extLst>
        </c:ser>
        <c:ser>
          <c:idx val="1"/>
          <c:order val="1"/>
          <c:tx>
            <c:strRef>
              <c:f>'Old &amp; New'!$B$36</c:f>
              <c:strCache>
                <c:ptCount val="1"/>
                <c:pt idx="0">
                  <c:v>BPM</c:v>
                </c:pt>
              </c:strCache>
            </c:strRef>
          </c:tx>
          <c:spPr>
            <a:solidFill>
              <a:schemeClr val="accent1">
                <a:shade val="65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New'!$C$36:$I$36</c:f>
              <c:numCache>
                <c:formatCode>General</c:formatCode>
                <c:ptCount val="7"/>
                <c:pt idx="0">
                  <c:v>28.59</c:v>
                </c:pt>
                <c:pt idx="1">
                  <c:v>34.24</c:v>
                </c:pt>
                <c:pt idx="2">
                  <c:v>105.52</c:v>
                </c:pt>
                <c:pt idx="3">
                  <c:v>504.8</c:v>
                </c:pt>
                <c:pt idx="4">
                  <c:v>584.30999999999995</c:v>
                </c:pt>
                <c:pt idx="5" formatCode="0.00">
                  <c:v>581.95000000000005</c:v>
                </c:pt>
                <c:pt idx="6">
                  <c:v>580.95000000000005</c:v>
                </c:pt>
              </c:numCache>
            </c:numRef>
          </c:val>
          <c:extLst xmlns:c16r2="http://schemas.microsoft.com/office/drawing/2015/06/chart">
            <c:ext xmlns:c16="http://schemas.microsoft.com/office/drawing/2014/chart" uri="{C3380CC4-5D6E-409C-BE32-E72D297353CC}">
              <c16:uniqueId val="{00000001-B3A7-4D84-83C9-02BAF1B9A312}"/>
            </c:ext>
          </c:extLst>
        </c:ser>
        <c:ser>
          <c:idx val="2"/>
          <c:order val="2"/>
          <c:tx>
            <c:strRef>
              <c:f>'Old &amp; New'!$B$37</c:f>
              <c:strCache>
                <c:ptCount val="1"/>
                <c:pt idx="0">
                  <c:v>TTC</c:v>
                </c:pt>
              </c:strCache>
            </c:strRef>
          </c:tx>
          <c:spPr>
            <a:solidFill>
              <a:schemeClr val="accent1">
                <a:shade val="82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New'!$C$37:$I$37</c:f>
              <c:numCache>
                <c:formatCode>General</c:formatCode>
                <c:ptCount val="7"/>
                <c:pt idx="0">
                  <c:v>25.03</c:v>
                </c:pt>
                <c:pt idx="1">
                  <c:v>26.43</c:v>
                </c:pt>
                <c:pt idx="2">
                  <c:v>55.63</c:v>
                </c:pt>
                <c:pt idx="3">
                  <c:v>219.4</c:v>
                </c:pt>
                <c:pt idx="4">
                  <c:v>314.79000000000002</c:v>
                </c:pt>
                <c:pt idx="5" formatCode="0.00">
                  <c:v>227.55</c:v>
                </c:pt>
                <c:pt idx="6">
                  <c:v>79.790000000000006</c:v>
                </c:pt>
              </c:numCache>
            </c:numRef>
          </c:val>
          <c:extLst xmlns:c16r2="http://schemas.microsoft.com/office/drawing/2015/06/chart">
            <c:ext xmlns:c16="http://schemas.microsoft.com/office/drawing/2014/chart" uri="{C3380CC4-5D6E-409C-BE32-E72D297353CC}">
              <c16:uniqueId val="{00000002-B3A7-4D84-83C9-02BAF1B9A312}"/>
            </c:ext>
          </c:extLst>
        </c:ser>
        <c:ser>
          <c:idx val="3"/>
          <c:order val="3"/>
          <c:tx>
            <c:strRef>
              <c:f>'Old &amp; New'!$B$38</c:f>
              <c:strCache>
                <c:ptCount val="1"/>
                <c:pt idx="0">
                  <c:v>SP</c:v>
                </c:pt>
              </c:strCache>
            </c:strRef>
          </c:tx>
          <c:spPr>
            <a:solidFill>
              <a:schemeClr val="accent1"/>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New'!$C$38:$I$38</c:f>
              <c:numCache>
                <c:formatCode>General</c:formatCode>
                <c:ptCount val="7"/>
                <c:pt idx="0">
                  <c:v>24.57</c:v>
                </c:pt>
                <c:pt idx="1">
                  <c:v>25.69</c:v>
                </c:pt>
                <c:pt idx="2">
                  <c:v>54.51</c:v>
                </c:pt>
                <c:pt idx="3">
                  <c:v>217.2</c:v>
                </c:pt>
                <c:pt idx="4">
                  <c:v>315.60000000000002</c:v>
                </c:pt>
                <c:pt idx="5" formatCode="0.00">
                  <c:v>225.9</c:v>
                </c:pt>
                <c:pt idx="6">
                  <c:v>82.04</c:v>
                </c:pt>
              </c:numCache>
            </c:numRef>
          </c:val>
          <c:extLst xmlns:c16r2="http://schemas.microsoft.com/office/drawing/2015/06/chart">
            <c:ext xmlns:c16="http://schemas.microsoft.com/office/drawing/2014/chart" uri="{C3380CC4-5D6E-409C-BE32-E72D297353CC}">
              <c16:uniqueId val="{00000003-B3A7-4D84-83C9-02BAF1B9A312}"/>
            </c:ext>
          </c:extLst>
        </c:ser>
        <c:ser>
          <c:idx val="4"/>
          <c:order val="4"/>
          <c:tx>
            <c:strRef>
              <c:f>'Old &amp; New'!$B$39</c:f>
              <c:strCache>
                <c:ptCount val="1"/>
                <c:pt idx="0">
                  <c:v>OC</c:v>
                </c:pt>
              </c:strCache>
            </c:strRef>
          </c:tx>
          <c:spPr>
            <a:solidFill>
              <a:schemeClr val="accent1">
                <a:tint val="83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New'!$C$39:$I$39</c:f>
              <c:numCache>
                <c:formatCode>General</c:formatCode>
                <c:ptCount val="7"/>
                <c:pt idx="0">
                  <c:v>24.49</c:v>
                </c:pt>
                <c:pt idx="1">
                  <c:v>25.08</c:v>
                </c:pt>
                <c:pt idx="2">
                  <c:v>30.76</c:v>
                </c:pt>
                <c:pt idx="3">
                  <c:v>88.11</c:v>
                </c:pt>
                <c:pt idx="4">
                  <c:v>539.86</c:v>
                </c:pt>
                <c:pt idx="5" formatCode="0.00">
                  <c:v>560.12</c:v>
                </c:pt>
                <c:pt idx="6">
                  <c:v>578.09</c:v>
                </c:pt>
              </c:numCache>
            </c:numRef>
          </c:val>
          <c:extLst xmlns:c16r2="http://schemas.microsoft.com/office/drawing/2015/06/chart">
            <c:ext xmlns:c16="http://schemas.microsoft.com/office/drawing/2014/chart" uri="{C3380CC4-5D6E-409C-BE32-E72D297353CC}">
              <c16:uniqueId val="{00000004-B3A7-4D84-83C9-02BAF1B9A312}"/>
            </c:ext>
          </c:extLst>
        </c:ser>
        <c:ser>
          <c:idx val="5"/>
          <c:order val="5"/>
          <c:tx>
            <c:strRef>
              <c:f>'Old &amp; New'!$B$40</c:f>
              <c:strCache>
                <c:ptCount val="1"/>
                <c:pt idx="0">
                  <c:v>TTC-O</c:v>
                </c:pt>
              </c:strCache>
            </c:strRef>
          </c:tx>
          <c:spPr>
            <a:solidFill>
              <a:schemeClr val="accent1">
                <a:tint val="65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New'!$C$40:$I$40</c:f>
              <c:numCache>
                <c:formatCode>General</c:formatCode>
                <c:ptCount val="7"/>
                <c:pt idx="0">
                  <c:v>24.7</c:v>
                </c:pt>
                <c:pt idx="1">
                  <c:v>25.58</c:v>
                </c:pt>
                <c:pt idx="2">
                  <c:v>38.25</c:v>
                </c:pt>
                <c:pt idx="3">
                  <c:v>182.14</c:v>
                </c:pt>
                <c:pt idx="4">
                  <c:v>243.08</c:v>
                </c:pt>
                <c:pt idx="5" formatCode="0.00">
                  <c:v>161.27000000000001</c:v>
                </c:pt>
                <c:pt idx="6">
                  <c:v>98.6</c:v>
                </c:pt>
              </c:numCache>
            </c:numRef>
          </c:val>
          <c:extLst xmlns:c16r2="http://schemas.microsoft.com/office/drawing/2015/06/chart">
            <c:ext xmlns:c16="http://schemas.microsoft.com/office/drawing/2014/chart" uri="{C3380CC4-5D6E-409C-BE32-E72D297353CC}">
              <c16:uniqueId val="{00000005-B3A7-4D84-83C9-02BAF1B9A312}"/>
            </c:ext>
          </c:extLst>
        </c:ser>
        <c:ser>
          <c:idx val="6"/>
          <c:order val="6"/>
          <c:tx>
            <c:strRef>
              <c:f>'Old &amp; New'!$B$41</c:f>
              <c:strCache>
                <c:ptCount val="1"/>
                <c:pt idx="0">
                  <c:v>SP-O</c:v>
                </c:pt>
              </c:strCache>
            </c:strRef>
          </c:tx>
          <c:spPr>
            <a:solidFill>
              <a:schemeClr val="accent1">
                <a:tint val="48000"/>
              </a:schemeClr>
            </a:solidFill>
            <a:ln>
              <a:noFill/>
            </a:ln>
            <a:effectLst/>
          </c:spPr>
          <c:invertIfNegative val="0"/>
          <c:cat>
            <c:numRef>
              <c:f>'Old &amp; New'!$C$34:$I$34</c:f>
              <c:numCache>
                <c:formatCode>General</c:formatCode>
                <c:ptCount val="7"/>
                <c:pt idx="0">
                  <c:v>0</c:v>
                </c:pt>
                <c:pt idx="1">
                  <c:v>0.1</c:v>
                </c:pt>
                <c:pt idx="2">
                  <c:v>0.25</c:v>
                </c:pt>
                <c:pt idx="3">
                  <c:v>0.5</c:v>
                </c:pt>
                <c:pt idx="4">
                  <c:v>0.75</c:v>
                </c:pt>
                <c:pt idx="5">
                  <c:v>0.9</c:v>
                </c:pt>
                <c:pt idx="6">
                  <c:v>1</c:v>
                </c:pt>
              </c:numCache>
            </c:numRef>
          </c:cat>
          <c:val>
            <c:numRef>
              <c:f>'Old &amp; New'!$C$41:$I$41</c:f>
              <c:numCache>
                <c:formatCode>General</c:formatCode>
                <c:ptCount val="7"/>
                <c:pt idx="0">
                  <c:v>24.7</c:v>
                </c:pt>
                <c:pt idx="1">
                  <c:v>25.58</c:v>
                </c:pt>
                <c:pt idx="2">
                  <c:v>38.25</c:v>
                </c:pt>
                <c:pt idx="3">
                  <c:v>182.14</c:v>
                </c:pt>
                <c:pt idx="4">
                  <c:v>243.04</c:v>
                </c:pt>
                <c:pt idx="5" formatCode="0.00">
                  <c:v>160.61000000000001</c:v>
                </c:pt>
                <c:pt idx="6">
                  <c:v>73.84</c:v>
                </c:pt>
              </c:numCache>
            </c:numRef>
          </c:val>
          <c:extLst xmlns:c16r2="http://schemas.microsoft.com/office/drawing/2015/06/chart">
            <c:ext xmlns:c16="http://schemas.microsoft.com/office/drawing/2014/chart" uri="{C3380CC4-5D6E-409C-BE32-E72D297353CC}">
              <c16:uniqueId val="{00000006-B3A7-4D84-83C9-02BAF1B9A312}"/>
            </c:ext>
          </c:extLst>
        </c:ser>
        <c:dLbls>
          <c:showLegendKey val="0"/>
          <c:showVal val="0"/>
          <c:showCatName val="0"/>
          <c:showSerName val="0"/>
          <c:showPercent val="0"/>
          <c:showBubbleSize val="0"/>
        </c:dLbls>
        <c:gapWidth val="219"/>
        <c:overlap val="-27"/>
        <c:axId val="469895184"/>
        <c:axId val="469890480"/>
      </c:barChart>
      <c:catAx>
        <c:axId val="469895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0480"/>
        <c:crosses val="autoZero"/>
        <c:auto val="1"/>
        <c:lblAlgn val="ctr"/>
        <c:lblOffset val="100"/>
        <c:noMultiLvlLbl val="0"/>
      </c:catAx>
      <c:valAx>
        <c:axId val="469890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5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New'!$B$55</c:f>
              <c:strCache>
                <c:ptCount val="1"/>
                <c:pt idx="0">
                  <c:v>Draft</c:v>
                </c:pt>
              </c:strCache>
            </c:strRef>
          </c:tx>
          <c:spPr>
            <a:solidFill>
              <a:schemeClr val="accent1">
                <a:shade val="47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New'!$C$55:$I$55</c:f>
              <c:numCache>
                <c:formatCode>General</c:formatCode>
                <c:ptCount val="7"/>
                <c:pt idx="0">
                  <c:v>30.076445023472299</c:v>
                </c:pt>
                <c:pt idx="1">
                  <c:v>29.959175193061</c:v>
                </c:pt>
                <c:pt idx="2">
                  <c:v>31.931096125027199</c:v>
                </c:pt>
                <c:pt idx="3">
                  <c:v>81.326310381341912</c:v>
                </c:pt>
                <c:pt idx="4">
                  <c:v>130.42739527225598</c:v>
                </c:pt>
                <c:pt idx="5" formatCode="0.00">
                  <c:v>96.146232745803601</c:v>
                </c:pt>
                <c:pt idx="6">
                  <c:v>55.550308543523002</c:v>
                </c:pt>
              </c:numCache>
            </c:numRef>
          </c:val>
          <c:extLst xmlns:c16r2="http://schemas.microsoft.com/office/drawing/2015/06/chart">
            <c:ext xmlns:c16="http://schemas.microsoft.com/office/drawing/2014/chart" uri="{C3380CC4-5D6E-409C-BE32-E72D297353CC}">
              <c16:uniqueId val="{00000000-A63B-43D5-86F7-A4B44E687A29}"/>
            </c:ext>
          </c:extLst>
        </c:ser>
        <c:ser>
          <c:idx val="1"/>
          <c:order val="1"/>
          <c:tx>
            <c:strRef>
              <c:f>'Old &amp; New'!$B$56</c:f>
              <c:strCache>
                <c:ptCount val="1"/>
                <c:pt idx="0">
                  <c:v>BPM</c:v>
                </c:pt>
              </c:strCache>
            </c:strRef>
          </c:tx>
          <c:spPr>
            <a:solidFill>
              <a:schemeClr val="accent1">
                <a:shade val="65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New'!$C$56:$I$56</c:f>
              <c:numCache>
                <c:formatCode>General</c:formatCode>
                <c:ptCount val="7"/>
                <c:pt idx="0">
                  <c:v>30.184037824690201</c:v>
                </c:pt>
                <c:pt idx="1">
                  <c:v>30.1162531418824</c:v>
                </c:pt>
                <c:pt idx="2">
                  <c:v>41.712667222123201</c:v>
                </c:pt>
                <c:pt idx="3">
                  <c:v>171.38443979028801</c:v>
                </c:pt>
                <c:pt idx="4">
                  <c:v>201.49350173945697</c:v>
                </c:pt>
                <c:pt idx="5" formatCode="0.00">
                  <c:v>201.45203511987799</c:v>
                </c:pt>
                <c:pt idx="6">
                  <c:v>201.42762096805799</c:v>
                </c:pt>
              </c:numCache>
            </c:numRef>
          </c:val>
          <c:extLst xmlns:c16r2="http://schemas.microsoft.com/office/drawing/2015/06/chart">
            <c:ext xmlns:c16="http://schemas.microsoft.com/office/drawing/2014/chart" uri="{C3380CC4-5D6E-409C-BE32-E72D297353CC}">
              <c16:uniqueId val="{00000001-A63B-43D5-86F7-A4B44E687A29}"/>
            </c:ext>
          </c:extLst>
        </c:ser>
        <c:ser>
          <c:idx val="2"/>
          <c:order val="2"/>
          <c:tx>
            <c:strRef>
              <c:f>'Old &amp; New'!$B$57</c:f>
              <c:strCache>
                <c:ptCount val="1"/>
                <c:pt idx="0">
                  <c:v>TTC</c:v>
                </c:pt>
              </c:strCache>
            </c:strRef>
          </c:tx>
          <c:spPr>
            <a:solidFill>
              <a:schemeClr val="accent1">
                <a:shade val="82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New'!$C$57:$I$57</c:f>
              <c:numCache>
                <c:formatCode>General</c:formatCode>
                <c:ptCount val="7"/>
                <c:pt idx="0">
                  <c:v>30.081000658597898</c:v>
                </c:pt>
                <c:pt idx="1">
                  <c:v>29.971601275633102</c:v>
                </c:pt>
                <c:pt idx="2">
                  <c:v>33.974224501628299</c:v>
                </c:pt>
                <c:pt idx="3">
                  <c:v>85.948652756083206</c:v>
                </c:pt>
                <c:pt idx="4">
                  <c:v>132.851588029884</c:v>
                </c:pt>
                <c:pt idx="5" formatCode="0.00">
                  <c:v>96.378007565272995</c:v>
                </c:pt>
                <c:pt idx="6">
                  <c:v>43.889283195541402</c:v>
                </c:pt>
              </c:numCache>
            </c:numRef>
          </c:val>
          <c:extLst xmlns:c16r2="http://schemas.microsoft.com/office/drawing/2015/06/chart">
            <c:ext xmlns:c16="http://schemas.microsoft.com/office/drawing/2014/chart" uri="{C3380CC4-5D6E-409C-BE32-E72D297353CC}">
              <c16:uniqueId val="{00000002-A63B-43D5-86F7-A4B44E687A29}"/>
            </c:ext>
          </c:extLst>
        </c:ser>
        <c:ser>
          <c:idx val="3"/>
          <c:order val="3"/>
          <c:tx>
            <c:strRef>
              <c:f>'Old &amp; New'!$B$58</c:f>
              <c:strCache>
                <c:ptCount val="1"/>
                <c:pt idx="0">
                  <c:v>SP</c:v>
                </c:pt>
              </c:strCache>
            </c:strRef>
          </c:tx>
          <c:spPr>
            <a:solidFill>
              <a:schemeClr val="accent1"/>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New'!$C$58:$I$58</c:f>
              <c:numCache>
                <c:formatCode>General</c:formatCode>
                <c:ptCount val="7"/>
                <c:pt idx="0">
                  <c:v>30.074006261498099</c:v>
                </c:pt>
                <c:pt idx="1">
                  <c:v>29.959447604506902</c:v>
                </c:pt>
                <c:pt idx="2">
                  <c:v>33.556666891745998</c:v>
                </c:pt>
                <c:pt idx="3">
                  <c:v>85.529498197320791</c:v>
                </c:pt>
                <c:pt idx="4">
                  <c:v>132.96243640162601</c:v>
                </c:pt>
                <c:pt idx="5" formatCode="0.00">
                  <c:v>95.240234011984995</c:v>
                </c:pt>
                <c:pt idx="6">
                  <c:v>44.4241827706145</c:v>
                </c:pt>
              </c:numCache>
            </c:numRef>
          </c:val>
          <c:extLst xmlns:c16r2="http://schemas.microsoft.com/office/drawing/2015/06/chart">
            <c:ext xmlns:c16="http://schemas.microsoft.com/office/drawing/2014/chart" uri="{C3380CC4-5D6E-409C-BE32-E72D297353CC}">
              <c16:uniqueId val="{00000003-A63B-43D5-86F7-A4B44E687A29}"/>
            </c:ext>
          </c:extLst>
        </c:ser>
        <c:ser>
          <c:idx val="4"/>
          <c:order val="4"/>
          <c:tx>
            <c:strRef>
              <c:f>'Old &amp; New'!$B$59</c:f>
              <c:strCache>
                <c:ptCount val="1"/>
                <c:pt idx="0">
                  <c:v>OC</c:v>
                </c:pt>
              </c:strCache>
            </c:strRef>
          </c:tx>
          <c:spPr>
            <a:solidFill>
              <a:schemeClr val="accent1">
                <a:tint val="83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New'!$C$59:$I$59</c:f>
              <c:numCache>
                <c:formatCode>General</c:formatCode>
                <c:ptCount val="7"/>
                <c:pt idx="0">
                  <c:v>30.079646647035297</c:v>
                </c:pt>
                <c:pt idx="1">
                  <c:v>29.969442357037401</c:v>
                </c:pt>
                <c:pt idx="2">
                  <c:v>29.808940035917502</c:v>
                </c:pt>
                <c:pt idx="3">
                  <c:v>31.466890715441398</c:v>
                </c:pt>
                <c:pt idx="4">
                  <c:v>189.91765369998402</c:v>
                </c:pt>
                <c:pt idx="5" formatCode="0.00">
                  <c:v>200.87008866828998</c:v>
                </c:pt>
                <c:pt idx="6">
                  <c:v>201.36540008124601</c:v>
                </c:pt>
              </c:numCache>
            </c:numRef>
          </c:val>
          <c:extLst xmlns:c16r2="http://schemas.microsoft.com/office/drawing/2015/06/chart">
            <c:ext xmlns:c16="http://schemas.microsoft.com/office/drawing/2014/chart" uri="{C3380CC4-5D6E-409C-BE32-E72D297353CC}">
              <c16:uniqueId val="{00000004-A63B-43D5-86F7-A4B44E687A29}"/>
            </c:ext>
          </c:extLst>
        </c:ser>
        <c:ser>
          <c:idx val="5"/>
          <c:order val="5"/>
          <c:tx>
            <c:strRef>
              <c:f>'Old &amp; New'!$B$60</c:f>
              <c:strCache>
                <c:ptCount val="1"/>
                <c:pt idx="0">
                  <c:v>TTC-O</c:v>
                </c:pt>
              </c:strCache>
            </c:strRef>
          </c:tx>
          <c:spPr>
            <a:solidFill>
              <a:schemeClr val="accent1">
                <a:tint val="65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New'!$C$60:$I$60</c:f>
              <c:numCache>
                <c:formatCode>General</c:formatCode>
                <c:ptCount val="7"/>
                <c:pt idx="0">
                  <c:v>30.073875403960201</c:v>
                </c:pt>
                <c:pt idx="1">
                  <c:v>29.9598285989141</c:v>
                </c:pt>
                <c:pt idx="2">
                  <c:v>30.392232692702898</c:v>
                </c:pt>
                <c:pt idx="3">
                  <c:v>70.102000174635592</c:v>
                </c:pt>
                <c:pt idx="4">
                  <c:v>103.69452783300201</c:v>
                </c:pt>
                <c:pt idx="5" formatCode="0.00">
                  <c:v>65.455356000210799</c:v>
                </c:pt>
                <c:pt idx="6">
                  <c:v>43.097498237382403</c:v>
                </c:pt>
              </c:numCache>
            </c:numRef>
          </c:val>
          <c:extLst xmlns:c16r2="http://schemas.microsoft.com/office/drawing/2015/06/chart">
            <c:ext xmlns:c16="http://schemas.microsoft.com/office/drawing/2014/chart" uri="{C3380CC4-5D6E-409C-BE32-E72D297353CC}">
              <c16:uniqueId val="{00000005-A63B-43D5-86F7-A4B44E687A29}"/>
            </c:ext>
          </c:extLst>
        </c:ser>
        <c:ser>
          <c:idx val="6"/>
          <c:order val="6"/>
          <c:tx>
            <c:strRef>
              <c:f>'Old &amp; New'!$B$61</c:f>
              <c:strCache>
                <c:ptCount val="1"/>
                <c:pt idx="0">
                  <c:v>SP-O</c:v>
                </c:pt>
              </c:strCache>
            </c:strRef>
          </c:tx>
          <c:spPr>
            <a:solidFill>
              <a:schemeClr val="accent1">
                <a:tint val="48000"/>
              </a:schemeClr>
            </a:solidFill>
            <a:ln>
              <a:noFill/>
            </a:ln>
            <a:effectLst/>
          </c:spPr>
          <c:invertIfNegative val="0"/>
          <c:cat>
            <c:numRef>
              <c:f>'Old &amp; New'!$C$54:$I$54</c:f>
              <c:numCache>
                <c:formatCode>General</c:formatCode>
                <c:ptCount val="7"/>
                <c:pt idx="0">
                  <c:v>0</c:v>
                </c:pt>
                <c:pt idx="1">
                  <c:v>0.1</c:v>
                </c:pt>
                <c:pt idx="2">
                  <c:v>0.25</c:v>
                </c:pt>
                <c:pt idx="3">
                  <c:v>0.5</c:v>
                </c:pt>
                <c:pt idx="4">
                  <c:v>0.75</c:v>
                </c:pt>
                <c:pt idx="5">
                  <c:v>0.9</c:v>
                </c:pt>
                <c:pt idx="6">
                  <c:v>1</c:v>
                </c:pt>
              </c:numCache>
            </c:numRef>
          </c:cat>
          <c:val>
            <c:numRef>
              <c:f>'Old &amp; New'!$C$61:$I$61</c:f>
              <c:numCache>
                <c:formatCode>General</c:formatCode>
                <c:ptCount val="7"/>
                <c:pt idx="0">
                  <c:v>30.073875403960201</c:v>
                </c:pt>
                <c:pt idx="1">
                  <c:v>29.9598285989141</c:v>
                </c:pt>
                <c:pt idx="2">
                  <c:v>30.392232692702898</c:v>
                </c:pt>
                <c:pt idx="3">
                  <c:v>70.102000174635705</c:v>
                </c:pt>
                <c:pt idx="4">
                  <c:v>103.69348348607099</c:v>
                </c:pt>
                <c:pt idx="5" formatCode="0.00">
                  <c:v>65.275487880930498</c:v>
                </c:pt>
                <c:pt idx="6">
                  <c:v>31.705230375412402</c:v>
                </c:pt>
              </c:numCache>
            </c:numRef>
          </c:val>
          <c:extLst xmlns:c16r2="http://schemas.microsoft.com/office/drawing/2015/06/chart">
            <c:ext xmlns:c16="http://schemas.microsoft.com/office/drawing/2014/chart" uri="{C3380CC4-5D6E-409C-BE32-E72D297353CC}">
              <c16:uniqueId val="{00000006-A63B-43D5-86F7-A4B44E687A29}"/>
            </c:ext>
          </c:extLst>
        </c:ser>
        <c:dLbls>
          <c:showLegendKey val="0"/>
          <c:showVal val="0"/>
          <c:showCatName val="0"/>
          <c:showSerName val="0"/>
          <c:showPercent val="0"/>
          <c:showBubbleSize val="0"/>
        </c:dLbls>
        <c:gapWidth val="219"/>
        <c:overlap val="-27"/>
        <c:axId val="469896360"/>
        <c:axId val="469885776"/>
      </c:barChart>
      <c:catAx>
        <c:axId val="469896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85776"/>
        <c:crosses val="autoZero"/>
        <c:auto val="1"/>
        <c:lblAlgn val="ctr"/>
        <c:lblOffset val="100"/>
        <c:noMultiLvlLbl val="0"/>
      </c:catAx>
      <c:valAx>
        <c:axId val="469885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6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New'!$B$69</c:f>
              <c:strCache>
                <c:ptCount val="1"/>
                <c:pt idx="0">
                  <c:v>Draft</c:v>
                </c:pt>
              </c:strCache>
            </c:strRef>
          </c:tx>
          <c:spPr>
            <a:solidFill>
              <a:schemeClr val="accent1">
                <a:shade val="47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New'!$C$69:$I$69</c:f>
              <c:numCache>
                <c:formatCode>General</c:formatCode>
                <c:ptCount val="7"/>
                <c:pt idx="0">
                  <c:v>4.1844307527852598</c:v>
                </c:pt>
                <c:pt idx="1">
                  <c:v>4.3540362487991899</c:v>
                </c:pt>
                <c:pt idx="2">
                  <c:v>6.6621492068899002</c:v>
                </c:pt>
                <c:pt idx="3">
                  <c:v>37.453472609270896</c:v>
                </c:pt>
                <c:pt idx="4">
                  <c:v>54.566425457119102</c:v>
                </c:pt>
                <c:pt idx="5" formatCode="0.00">
                  <c:v>43.752294629391898</c:v>
                </c:pt>
                <c:pt idx="6">
                  <c:v>38.066514090993003</c:v>
                </c:pt>
              </c:numCache>
            </c:numRef>
          </c:val>
          <c:extLst xmlns:c16r2="http://schemas.microsoft.com/office/drawing/2015/06/chart">
            <c:ext xmlns:c16="http://schemas.microsoft.com/office/drawing/2014/chart" uri="{C3380CC4-5D6E-409C-BE32-E72D297353CC}">
              <c16:uniqueId val="{00000000-25B4-408E-8DC4-90B31821AC58}"/>
            </c:ext>
          </c:extLst>
        </c:ser>
        <c:ser>
          <c:idx val="1"/>
          <c:order val="1"/>
          <c:tx>
            <c:strRef>
              <c:f>'Old &amp; New'!$B$70</c:f>
              <c:strCache>
                <c:ptCount val="1"/>
                <c:pt idx="0">
                  <c:v>BPM</c:v>
                </c:pt>
              </c:strCache>
            </c:strRef>
          </c:tx>
          <c:spPr>
            <a:solidFill>
              <a:schemeClr val="accent1">
                <a:shade val="65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New'!$C$70:$I$70</c:f>
              <c:numCache>
                <c:formatCode>General</c:formatCode>
                <c:ptCount val="7"/>
                <c:pt idx="0">
                  <c:v>4.5592675340643396</c:v>
                </c:pt>
                <c:pt idx="1">
                  <c:v>5.1470129847859596</c:v>
                </c:pt>
                <c:pt idx="2">
                  <c:v>13.7969395740602</c:v>
                </c:pt>
                <c:pt idx="3">
                  <c:v>94.838990918558395</c:v>
                </c:pt>
                <c:pt idx="4">
                  <c:v>192.69818318749901</c:v>
                </c:pt>
                <c:pt idx="5" formatCode="0.00">
                  <c:v>216.13037996549599</c:v>
                </c:pt>
                <c:pt idx="6">
                  <c:v>225.82209102633101</c:v>
                </c:pt>
              </c:numCache>
            </c:numRef>
          </c:val>
          <c:extLst xmlns:c16r2="http://schemas.microsoft.com/office/drawing/2015/06/chart">
            <c:ext xmlns:c16="http://schemas.microsoft.com/office/drawing/2014/chart" uri="{C3380CC4-5D6E-409C-BE32-E72D297353CC}">
              <c16:uniqueId val="{00000001-25B4-408E-8DC4-90B31821AC58}"/>
            </c:ext>
          </c:extLst>
        </c:ser>
        <c:ser>
          <c:idx val="2"/>
          <c:order val="2"/>
          <c:tx>
            <c:strRef>
              <c:f>'Old &amp; New'!$B$71</c:f>
              <c:strCache>
                <c:ptCount val="1"/>
                <c:pt idx="0">
                  <c:v>TTC</c:v>
                </c:pt>
              </c:strCache>
            </c:strRef>
          </c:tx>
          <c:spPr>
            <a:solidFill>
              <a:schemeClr val="accent1">
                <a:shade val="82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New'!$C$71:$I$71</c:f>
              <c:numCache>
                <c:formatCode>General</c:formatCode>
                <c:ptCount val="7"/>
                <c:pt idx="0">
                  <c:v>4.2006550202564696</c:v>
                </c:pt>
                <c:pt idx="1">
                  <c:v>4.3887534732617599</c:v>
                </c:pt>
                <c:pt idx="2">
                  <c:v>7.0187207320044704</c:v>
                </c:pt>
                <c:pt idx="3">
                  <c:v>39.5036063125822</c:v>
                </c:pt>
                <c:pt idx="4">
                  <c:v>56.106866243494203</c:v>
                </c:pt>
                <c:pt idx="5" formatCode="0.00">
                  <c:v>41.005408890240801</c:v>
                </c:pt>
                <c:pt idx="6">
                  <c:v>34.079398550160803</c:v>
                </c:pt>
              </c:numCache>
            </c:numRef>
          </c:val>
          <c:extLst xmlns:c16r2="http://schemas.microsoft.com/office/drawing/2015/06/chart">
            <c:ext xmlns:c16="http://schemas.microsoft.com/office/drawing/2014/chart" uri="{C3380CC4-5D6E-409C-BE32-E72D297353CC}">
              <c16:uniqueId val="{00000002-25B4-408E-8DC4-90B31821AC58}"/>
            </c:ext>
          </c:extLst>
        </c:ser>
        <c:ser>
          <c:idx val="3"/>
          <c:order val="3"/>
          <c:tx>
            <c:strRef>
              <c:f>'Old &amp; New'!$B$72</c:f>
              <c:strCache>
                <c:ptCount val="1"/>
                <c:pt idx="0">
                  <c:v>SP</c:v>
                </c:pt>
              </c:strCache>
            </c:strRef>
          </c:tx>
          <c:spPr>
            <a:solidFill>
              <a:schemeClr val="accent1"/>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New'!$C$72:$I$72</c:f>
              <c:numCache>
                <c:formatCode>General</c:formatCode>
                <c:ptCount val="7"/>
                <c:pt idx="0">
                  <c:v>4.1153367024251901</c:v>
                </c:pt>
                <c:pt idx="1">
                  <c:v>4.25837668737835</c:v>
                </c:pt>
                <c:pt idx="2">
                  <c:v>6.7043503587779503</c:v>
                </c:pt>
                <c:pt idx="3">
                  <c:v>39.056258087983501</c:v>
                </c:pt>
                <c:pt idx="4">
                  <c:v>55.909464320511603</c:v>
                </c:pt>
                <c:pt idx="5" formatCode="0.00">
                  <c:v>41.092053442982703</c:v>
                </c:pt>
                <c:pt idx="6">
                  <c:v>33.992497510891297</c:v>
                </c:pt>
              </c:numCache>
            </c:numRef>
          </c:val>
          <c:extLst xmlns:c16r2="http://schemas.microsoft.com/office/drawing/2015/06/chart">
            <c:ext xmlns:c16="http://schemas.microsoft.com/office/drawing/2014/chart" uri="{C3380CC4-5D6E-409C-BE32-E72D297353CC}">
              <c16:uniqueId val="{00000003-25B4-408E-8DC4-90B31821AC58}"/>
            </c:ext>
          </c:extLst>
        </c:ser>
        <c:ser>
          <c:idx val="4"/>
          <c:order val="4"/>
          <c:tx>
            <c:strRef>
              <c:f>'Old &amp; New'!$B$73</c:f>
              <c:strCache>
                <c:ptCount val="1"/>
                <c:pt idx="0">
                  <c:v>OC</c:v>
                </c:pt>
              </c:strCache>
            </c:strRef>
          </c:tx>
          <c:spPr>
            <a:solidFill>
              <a:schemeClr val="accent1">
                <a:tint val="83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New'!$C$73:$I$73</c:f>
              <c:numCache>
                <c:formatCode>General</c:formatCode>
                <c:ptCount val="7"/>
                <c:pt idx="0">
                  <c:v>4.1277586050114197</c:v>
                </c:pt>
                <c:pt idx="1">
                  <c:v>4.2142598198383103</c:v>
                </c:pt>
                <c:pt idx="2">
                  <c:v>5.1415052005375301</c:v>
                </c:pt>
                <c:pt idx="3">
                  <c:v>15.0980201006432</c:v>
                </c:pt>
                <c:pt idx="4">
                  <c:v>108.155976095779</c:v>
                </c:pt>
                <c:pt idx="5" formatCode="0.00">
                  <c:v>122.575879757233</c:v>
                </c:pt>
                <c:pt idx="6">
                  <c:v>225.715512751771</c:v>
                </c:pt>
              </c:numCache>
            </c:numRef>
          </c:val>
          <c:extLst xmlns:c16r2="http://schemas.microsoft.com/office/drawing/2015/06/chart">
            <c:ext xmlns:c16="http://schemas.microsoft.com/office/drawing/2014/chart" uri="{C3380CC4-5D6E-409C-BE32-E72D297353CC}">
              <c16:uniqueId val="{00000004-25B4-408E-8DC4-90B31821AC58}"/>
            </c:ext>
          </c:extLst>
        </c:ser>
        <c:ser>
          <c:idx val="5"/>
          <c:order val="5"/>
          <c:tx>
            <c:strRef>
              <c:f>'Old &amp; New'!$B$74</c:f>
              <c:strCache>
                <c:ptCount val="1"/>
                <c:pt idx="0">
                  <c:v>TTC-O</c:v>
                </c:pt>
              </c:strCache>
            </c:strRef>
          </c:tx>
          <c:spPr>
            <a:solidFill>
              <a:schemeClr val="accent1">
                <a:tint val="65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New'!$C$74:$I$74</c:f>
              <c:numCache>
                <c:formatCode>General</c:formatCode>
                <c:ptCount val="7"/>
                <c:pt idx="0">
                  <c:v>4.1438946247494499</c:v>
                </c:pt>
                <c:pt idx="1">
                  <c:v>4.2777162315324597</c:v>
                </c:pt>
                <c:pt idx="2">
                  <c:v>6.0770497164495003</c:v>
                </c:pt>
                <c:pt idx="3">
                  <c:v>31.4229732836796</c:v>
                </c:pt>
                <c:pt idx="4">
                  <c:v>42.317857269243198</c:v>
                </c:pt>
                <c:pt idx="5" formatCode="0.00">
                  <c:v>25.861561452166601</c:v>
                </c:pt>
                <c:pt idx="6">
                  <c:v>36.629884596687397</c:v>
                </c:pt>
              </c:numCache>
            </c:numRef>
          </c:val>
          <c:extLst xmlns:c16r2="http://schemas.microsoft.com/office/drawing/2015/06/chart">
            <c:ext xmlns:c16="http://schemas.microsoft.com/office/drawing/2014/chart" uri="{C3380CC4-5D6E-409C-BE32-E72D297353CC}">
              <c16:uniqueId val="{00000005-25B4-408E-8DC4-90B31821AC58}"/>
            </c:ext>
          </c:extLst>
        </c:ser>
        <c:ser>
          <c:idx val="6"/>
          <c:order val="6"/>
          <c:tx>
            <c:strRef>
              <c:f>'Old &amp; New'!$B$75</c:f>
              <c:strCache>
                <c:ptCount val="1"/>
                <c:pt idx="0">
                  <c:v>SP-O</c:v>
                </c:pt>
              </c:strCache>
            </c:strRef>
          </c:tx>
          <c:spPr>
            <a:solidFill>
              <a:schemeClr val="accent1">
                <a:tint val="48000"/>
              </a:schemeClr>
            </a:solidFill>
            <a:ln>
              <a:noFill/>
            </a:ln>
            <a:effectLst/>
          </c:spPr>
          <c:invertIfNegative val="0"/>
          <c:cat>
            <c:numRef>
              <c:f>'Old &amp; New'!$C$68:$I$68</c:f>
              <c:numCache>
                <c:formatCode>General</c:formatCode>
                <c:ptCount val="7"/>
                <c:pt idx="0">
                  <c:v>0</c:v>
                </c:pt>
                <c:pt idx="1">
                  <c:v>0.1</c:v>
                </c:pt>
                <c:pt idx="2">
                  <c:v>0.25</c:v>
                </c:pt>
                <c:pt idx="3">
                  <c:v>0.5</c:v>
                </c:pt>
                <c:pt idx="4">
                  <c:v>0.75</c:v>
                </c:pt>
                <c:pt idx="5">
                  <c:v>0.9</c:v>
                </c:pt>
                <c:pt idx="6">
                  <c:v>1</c:v>
                </c:pt>
              </c:numCache>
            </c:numRef>
          </c:cat>
          <c:val>
            <c:numRef>
              <c:f>'Old &amp; New'!$C$75:$I$75</c:f>
              <c:numCache>
                <c:formatCode>General</c:formatCode>
                <c:ptCount val="7"/>
                <c:pt idx="0">
                  <c:v>4.1438946247494499</c:v>
                </c:pt>
                <c:pt idx="1">
                  <c:v>4.2777162315324597</c:v>
                </c:pt>
                <c:pt idx="2">
                  <c:v>6.0765940123455504</c:v>
                </c:pt>
                <c:pt idx="3">
                  <c:v>31.412858534906999</c:v>
                </c:pt>
                <c:pt idx="4">
                  <c:v>42.282630538406003</c:v>
                </c:pt>
                <c:pt idx="5" formatCode="0.00">
                  <c:v>25.541300119182999</c:v>
                </c:pt>
                <c:pt idx="6">
                  <c:v>27.880293952255901</c:v>
                </c:pt>
              </c:numCache>
            </c:numRef>
          </c:val>
          <c:extLst xmlns:c16r2="http://schemas.microsoft.com/office/drawing/2015/06/chart">
            <c:ext xmlns:c16="http://schemas.microsoft.com/office/drawing/2014/chart" uri="{C3380CC4-5D6E-409C-BE32-E72D297353CC}">
              <c16:uniqueId val="{00000006-25B4-408E-8DC4-90B31821AC58}"/>
            </c:ext>
          </c:extLst>
        </c:ser>
        <c:dLbls>
          <c:showLegendKey val="0"/>
          <c:showVal val="0"/>
          <c:showCatName val="0"/>
          <c:showSerName val="0"/>
          <c:showPercent val="0"/>
          <c:showBubbleSize val="0"/>
        </c:dLbls>
        <c:gapWidth val="219"/>
        <c:overlap val="-27"/>
        <c:axId val="469897928"/>
        <c:axId val="469899104"/>
      </c:barChart>
      <c:catAx>
        <c:axId val="469897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9104"/>
        <c:crosses val="autoZero"/>
        <c:auto val="1"/>
        <c:lblAlgn val="ctr"/>
        <c:lblOffset val="100"/>
        <c:noMultiLvlLbl val="0"/>
      </c:catAx>
      <c:valAx>
        <c:axId val="469899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7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'Old &amp; New'!$B$80</c:f>
              <c:strCache>
                <c:ptCount val="1"/>
                <c:pt idx="0">
                  <c:v>Draft</c:v>
                </c:pt>
              </c:strCache>
            </c:strRef>
          </c:tx>
          <c:spPr>
            <a:solidFill>
              <a:schemeClr val="accent1">
                <a:shade val="47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New'!$C$80:$I$80</c:f>
              <c:numCache>
                <c:formatCode>General</c:formatCode>
                <c:ptCount val="7"/>
                <c:pt idx="0">
                  <c:v>9.7875253216167692</c:v>
                </c:pt>
                <c:pt idx="1">
                  <c:v>9.7475462430747193</c:v>
                </c:pt>
                <c:pt idx="2">
                  <c:v>9.7965881208773098</c:v>
                </c:pt>
                <c:pt idx="3">
                  <c:v>15.522094419608198</c:v>
                </c:pt>
                <c:pt idx="4">
                  <c:v>21.766100412765603</c:v>
                </c:pt>
                <c:pt idx="5" formatCode="0.00">
                  <c:v>17.575606605070799</c:v>
                </c:pt>
                <c:pt idx="6">
                  <c:v>14.901614913247801</c:v>
                </c:pt>
              </c:numCache>
            </c:numRef>
          </c:val>
          <c:extLst xmlns:c16r2="http://schemas.microsoft.com/office/drawing/2015/06/chart">
            <c:ext xmlns:c16="http://schemas.microsoft.com/office/drawing/2014/chart" uri="{C3380CC4-5D6E-409C-BE32-E72D297353CC}">
              <c16:uniqueId val="{00000000-D81E-498B-A086-DCDA72C7566F}"/>
            </c:ext>
          </c:extLst>
        </c:ser>
        <c:ser>
          <c:idx val="1"/>
          <c:order val="1"/>
          <c:tx>
            <c:strRef>
              <c:f>'Old &amp; New'!$B$81</c:f>
              <c:strCache>
                <c:ptCount val="1"/>
                <c:pt idx="0">
                  <c:v>BPM</c:v>
                </c:pt>
              </c:strCache>
            </c:strRef>
          </c:tx>
          <c:spPr>
            <a:solidFill>
              <a:schemeClr val="accent1">
                <a:shade val="65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New'!$C$81:$I$81</c:f>
              <c:numCache>
                <c:formatCode>General</c:formatCode>
                <c:ptCount val="7"/>
                <c:pt idx="0">
                  <c:v>9.8063665621236993</c:v>
                </c:pt>
                <c:pt idx="1">
                  <c:v>9.7797564289588994</c:v>
                </c:pt>
                <c:pt idx="2">
                  <c:v>10.140450132261101</c:v>
                </c:pt>
                <c:pt idx="3">
                  <c:v>31.050286599148599</c:v>
                </c:pt>
                <c:pt idx="4">
                  <c:v>68.680999702934201</c:v>
                </c:pt>
                <c:pt idx="5" formatCode="0.00">
                  <c:v>79.734598040699595</c:v>
                </c:pt>
                <c:pt idx="6">
                  <c:v>84.616151840985609</c:v>
                </c:pt>
              </c:numCache>
            </c:numRef>
          </c:val>
          <c:extLst xmlns:c16r2="http://schemas.microsoft.com/office/drawing/2015/06/chart">
            <c:ext xmlns:c16="http://schemas.microsoft.com/office/drawing/2014/chart" uri="{C3380CC4-5D6E-409C-BE32-E72D297353CC}">
              <c16:uniqueId val="{00000001-D81E-498B-A086-DCDA72C7566F}"/>
            </c:ext>
          </c:extLst>
        </c:ser>
        <c:ser>
          <c:idx val="2"/>
          <c:order val="2"/>
          <c:tx>
            <c:strRef>
              <c:f>'Old &amp; New'!$B$82</c:f>
              <c:strCache>
                <c:ptCount val="1"/>
                <c:pt idx="0">
                  <c:v>TTC</c:v>
                </c:pt>
              </c:strCache>
            </c:strRef>
          </c:tx>
          <c:spPr>
            <a:solidFill>
              <a:schemeClr val="accent1">
                <a:shade val="82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New'!$C$82:$I$82</c:f>
              <c:numCache>
                <c:formatCode>General</c:formatCode>
                <c:ptCount val="7"/>
                <c:pt idx="0">
                  <c:v>9.7896165157963608</c:v>
                </c:pt>
                <c:pt idx="1">
                  <c:v>9.7509820826680098</c:v>
                </c:pt>
                <c:pt idx="2">
                  <c:v>9.8261583941182593</c:v>
                </c:pt>
                <c:pt idx="3">
                  <c:v>16.408402201842598</c:v>
                </c:pt>
                <c:pt idx="4">
                  <c:v>22.840166926832101</c:v>
                </c:pt>
                <c:pt idx="5" formatCode="0.00">
                  <c:v>17.582146938397202</c:v>
                </c:pt>
                <c:pt idx="6">
                  <c:v>16.108992919359398</c:v>
                </c:pt>
              </c:numCache>
            </c:numRef>
          </c:val>
          <c:extLst xmlns:c16r2="http://schemas.microsoft.com/office/drawing/2015/06/chart">
            <c:ext xmlns:c16="http://schemas.microsoft.com/office/drawing/2014/chart" uri="{C3380CC4-5D6E-409C-BE32-E72D297353CC}">
              <c16:uniqueId val="{00000002-D81E-498B-A086-DCDA72C7566F}"/>
            </c:ext>
          </c:extLst>
        </c:ser>
        <c:ser>
          <c:idx val="3"/>
          <c:order val="3"/>
          <c:tx>
            <c:strRef>
              <c:f>'Old &amp; New'!$B$83</c:f>
              <c:strCache>
                <c:ptCount val="1"/>
                <c:pt idx="0">
                  <c:v>SP</c:v>
                </c:pt>
              </c:strCache>
            </c:strRef>
          </c:tx>
          <c:spPr>
            <a:solidFill>
              <a:schemeClr val="accent1"/>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New'!$C$83:$I$83</c:f>
              <c:numCache>
                <c:formatCode>General</c:formatCode>
                <c:ptCount val="7"/>
                <c:pt idx="0">
                  <c:v>9.7881500406270305</c:v>
                </c:pt>
                <c:pt idx="1">
                  <c:v>9.7486711828621395</c:v>
                </c:pt>
                <c:pt idx="2">
                  <c:v>9.81776761062393</c:v>
                </c:pt>
                <c:pt idx="3">
                  <c:v>16.1883241520623</c:v>
                </c:pt>
                <c:pt idx="4">
                  <c:v>22.663986843708003</c:v>
                </c:pt>
                <c:pt idx="5" formatCode="0.00">
                  <c:v>17.5184834702717</c:v>
                </c:pt>
                <c:pt idx="6">
                  <c:v>15.833545501372599</c:v>
                </c:pt>
              </c:numCache>
            </c:numRef>
          </c:val>
          <c:extLst xmlns:c16r2="http://schemas.microsoft.com/office/drawing/2015/06/chart">
            <c:ext xmlns:c16="http://schemas.microsoft.com/office/drawing/2014/chart" uri="{C3380CC4-5D6E-409C-BE32-E72D297353CC}">
              <c16:uniqueId val="{00000003-D81E-498B-A086-DCDA72C7566F}"/>
            </c:ext>
          </c:extLst>
        </c:ser>
        <c:ser>
          <c:idx val="4"/>
          <c:order val="4"/>
          <c:tx>
            <c:strRef>
              <c:f>'Old &amp; New'!$B$84</c:f>
              <c:strCache>
                <c:ptCount val="1"/>
                <c:pt idx="0">
                  <c:v>OC</c:v>
                </c:pt>
              </c:strCache>
            </c:strRef>
          </c:tx>
          <c:spPr>
            <a:solidFill>
              <a:schemeClr val="accent1">
                <a:tint val="83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New'!$C$84:$I$84</c:f>
              <c:numCache>
                <c:formatCode>General</c:formatCode>
                <c:ptCount val="7"/>
                <c:pt idx="0">
                  <c:v>9.7877134100537599</c:v>
                </c:pt>
                <c:pt idx="1">
                  <c:v>9.7480462900880802</c:v>
                </c:pt>
                <c:pt idx="2">
                  <c:v>9.7519177660212897</c:v>
                </c:pt>
                <c:pt idx="3">
                  <c:v>10.088256197275999</c:v>
                </c:pt>
                <c:pt idx="4">
                  <c:v>40.215935352040503</c:v>
                </c:pt>
                <c:pt idx="5" formatCode="0.00">
                  <c:v>45.880434615191703</c:v>
                </c:pt>
                <c:pt idx="6">
                  <c:v>84.669269595299497</c:v>
                </c:pt>
              </c:numCache>
            </c:numRef>
          </c:val>
          <c:extLst xmlns:c16r2="http://schemas.microsoft.com/office/drawing/2015/06/chart">
            <c:ext xmlns:c16="http://schemas.microsoft.com/office/drawing/2014/chart" uri="{C3380CC4-5D6E-409C-BE32-E72D297353CC}">
              <c16:uniqueId val="{00000004-D81E-498B-A086-DCDA72C7566F}"/>
            </c:ext>
          </c:extLst>
        </c:ser>
        <c:ser>
          <c:idx val="5"/>
          <c:order val="5"/>
          <c:tx>
            <c:strRef>
              <c:f>'Old &amp; New'!$B$85</c:f>
              <c:strCache>
                <c:ptCount val="1"/>
                <c:pt idx="0">
                  <c:v>TTC-O</c:v>
                </c:pt>
              </c:strCache>
            </c:strRef>
          </c:tx>
          <c:spPr>
            <a:solidFill>
              <a:schemeClr val="accent1">
                <a:tint val="65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New'!$C$85:$I$85</c:f>
              <c:numCache>
                <c:formatCode>General</c:formatCode>
                <c:ptCount val="7"/>
                <c:pt idx="0">
                  <c:v>9.7876828924282098</c:v>
                </c:pt>
                <c:pt idx="1">
                  <c:v>9.7478392967099605</c:v>
                </c:pt>
                <c:pt idx="2">
                  <c:v>9.7840155576742909</c:v>
                </c:pt>
                <c:pt idx="3">
                  <c:v>13.9741496933385</c:v>
                </c:pt>
                <c:pt idx="4">
                  <c:v>17.237067724665099</c:v>
                </c:pt>
                <c:pt idx="5" formatCode="0.00">
                  <c:v>11.168935159508599</c:v>
                </c:pt>
                <c:pt idx="6">
                  <c:v>16.500451987270399</c:v>
                </c:pt>
              </c:numCache>
            </c:numRef>
          </c:val>
          <c:extLst xmlns:c16r2="http://schemas.microsoft.com/office/drawing/2015/06/chart">
            <c:ext xmlns:c16="http://schemas.microsoft.com/office/drawing/2014/chart" uri="{C3380CC4-5D6E-409C-BE32-E72D297353CC}">
              <c16:uniqueId val="{00000005-D81E-498B-A086-DCDA72C7566F}"/>
            </c:ext>
          </c:extLst>
        </c:ser>
        <c:ser>
          <c:idx val="6"/>
          <c:order val="6"/>
          <c:tx>
            <c:strRef>
              <c:f>'Old &amp; New'!$B$86</c:f>
              <c:strCache>
                <c:ptCount val="1"/>
                <c:pt idx="0">
                  <c:v>SP-O</c:v>
                </c:pt>
              </c:strCache>
            </c:strRef>
          </c:tx>
          <c:spPr>
            <a:solidFill>
              <a:schemeClr val="accent1">
                <a:tint val="48000"/>
              </a:schemeClr>
            </a:solidFill>
            <a:ln>
              <a:noFill/>
            </a:ln>
            <a:effectLst/>
          </c:spPr>
          <c:invertIfNegative val="0"/>
          <c:cat>
            <c:numRef>
              <c:f>'Old &amp; New'!$C$79:$I$79</c:f>
              <c:numCache>
                <c:formatCode>General</c:formatCode>
                <c:ptCount val="7"/>
                <c:pt idx="0">
                  <c:v>0</c:v>
                </c:pt>
                <c:pt idx="1">
                  <c:v>0.1</c:v>
                </c:pt>
                <c:pt idx="2">
                  <c:v>0.25</c:v>
                </c:pt>
                <c:pt idx="3">
                  <c:v>0.5</c:v>
                </c:pt>
                <c:pt idx="4">
                  <c:v>0.75</c:v>
                </c:pt>
                <c:pt idx="5">
                  <c:v>0.9</c:v>
                </c:pt>
                <c:pt idx="6">
                  <c:v>1</c:v>
                </c:pt>
              </c:numCache>
            </c:numRef>
          </c:cat>
          <c:val>
            <c:numRef>
              <c:f>'Old &amp; New'!$C$86:$I$86</c:f>
              <c:numCache>
                <c:formatCode>General</c:formatCode>
                <c:ptCount val="7"/>
                <c:pt idx="0">
                  <c:v>9.7876829180730702</c:v>
                </c:pt>
                <c:pt idx="1">
                  <c:v>9.7478392967099605</c:v>
                </c:pt>
                <c:pt idx="2">
                  <c:v>9.7832771548310209</c:v>
                </c:pt>
                <c:pt idx="3">
                  <c:v>13.963127574721399</c:v>
                </c:pt>
                <c:pt idx="4">
                  <c:v>17.2044551025838</c:v>
                </c:pt>
                <c:pt idx="5" formatCode="0.00">
                  <c:v>10.984448497296299</c:v>
                </c:pt>
                <c:pt idx="6">
                  <c:v>11.911438404986601</c:v>
                </c:pt>
              </c:numCache>
            </c:numRef>
          </c:val>
          <c:extLst xmlns:c16r2="http://schemas.microsoft.com/office/drawing/2015/06/chart">
            <c:ext xmlns:c16="http://schemas.microsoft.com/office/drawing/2014/chart" uri="{C3380CC4-5D6E-409C-BE32-E72D297353CC}">
              <c16:uniqueId val="{00000006-D81E-498B-A086-DCDA72C7566F}"/>
            </c:ext>
          </c:extLst>
        </c:ser>
        <c:dLbls>
          <c:showLegendKey val="0"/>
          <c:showVal val="0"/>
          <c:showCatName val="0"/>
          <c:showSerName val="0"/>
          <c:showPercent val="0"/>
          <c:showBubbleSize val="0"/>
        </c:dLbls>
        <c:gapWidth val="219"/>
        <c:overlap val="-27"/>
        <c:axId val="469899888"/>
        <c:axId val="469898712"/>
      </c:barChart>
      <c:catAx>
        <c:axId val="469899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8712"/>
        <c:crosses val="autoZero"/>
        <c:auto val="1"/>
        <c:lblAlgn val="ctr"/>
        <c:lblOffset val="100"/>
        <c:noMultiLvlLbl val="0"/>
      </c:catAx>
      <c:valAx>
        <c:axId val="469898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899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74825021872265"/>
          <c:y val="3.7037037037037035E-2"/>
          <c:w val="0.81102952755905511"/>
          <c:h val="0.73577136191309422"/>
        </c:manualLayout>
      </c:layout>
      <c:barChart>
        <c:barDir val="bar"/>
        <c:grouping val="clustered"/>
        <c:varyColors val="0"/>
        <c:ser>
          <c:idx val="2"/>
          <c:order val="2"/>
          <c:tx>
            <c:strRef>
              <c:f>'4 Wh'!$A$6</c:f>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Wh'!$B$3:$H$3</c:f>
              <c:strCache>
                <c:ptCount val="7"/>
                <c:pt idx="0">
                  <c:v>Draft</c:v>
                </c:pt>
                <c:pt idx="1">
                  <c:v>BPM</c:v>
                </c:pt>
                <c:pt idx="2">
                  <c:v>TTC</c:v>
                </c:pt>
                <c:pt idx="3">
                  <c:v>SP</c:v>
                </c:pt>
                <c:pt idx="4">
                  <c:v>TTC-O</c:v>
                </c:pt>
                <c:pt idx="5">
                  <c:v>SP-O</c:v>
                </c:pt>
                <c:pt idx="6">
                  <c:v>OC</c:v>
                </c:pt>
              </c:strCache>
            </c:strRef>
          </c:cat>
          <c:val>
            <c:numRef>
              <c:f>'4 Wh'!$B$6:$H$6</c:f>
              <c:numCache>
                <c:formatCode>0.00</c:formatCode>
                <c:ptCount val="7"/>
                <c:pt idx="0">
                  <c:v>0.12663131103285399</c:v>
                </c:pt>
                <c:pt idx="1">
                  <c:v>13.375202492051301</c:v>
                </c:pt>
                <c:pt idx="2">
                  <c:v>0.56313438054109999</c:v>
                </c:pt>
                <c:pt idx="3">
                  <c:v>0.51047838664357803</c:v>
                </c:pt>
                <c:pt idx="4">
                  <c:v>0.28175608538229302</c:v>
                </c:pt>
                <c:pt idx="5">
                  <c:v>0.28175608538229302</c:v>
                </c:pt>
                <c:pt idx="6">
                  <c:v>0.84799696860921903</c:v>
                </c:pt>
              </c:numCache>
            </c:numRef>
          </c:val>
          <c:extLst xmlns:c16r2="http://schemas.microsoft.com/office/drawing/2015/06/chart">
            <c:ext xmlns:c16="http://schemas.microsoft.com/office/drawing/2014/chart" uri="{C3380CC4-5D6E-409C-BE32-E72D297353CC}">
              <c16:uniqueId val="{00000000-723D-49DE-A0BF-5B5EC820E80F}"/>
            </c:ext>
          </c:extLst>
        </c:ser>
        <c:dLbls>
          <c:dLblPos val="outEnd"/>
          <c:showLegendKey val="0"/>
          <c:showVal val="1"/>
          <c:showCatName val="0"/>
          <c:showSerName val="0"/>
          <c:showPercent val="0"/>
          <c:showBubbleSize val="0"/>
        </c:dLbls>
        <c:gapWidth val="182"/>
        <c:axId val="538279648"/>
        <c:axId val="53827376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Wh'!$A$4</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Wh'!$B$4:$H$4</c15:sqref>
                        </c15:formulaRef>
                      </c:ext>
                    </c:extLst>
                    <c:numCache>
                      <c:formatCode>0.00</c:formatCode>
                      <c:ptCount val="7"/>
                      <c:pt idx="0">
                        <c:v>1.8714821658034899</c:v>
                      </c:pt>
                      <c:pt idx="1">
                        <c:v>9.7053184624581199</c:v>
                      </c:pt>
                      <c:pt idx="2">
                        <c:v>1.97599478177732</c:v>
                      </c:pt>
                      <c:pt idx="3">
                        <c:v>1.33058663755774</c:v>
                      </c:pt>
                      <c:pt idx="4">
                        <c:v>1.6953138349168</c:v>
                      </c:pt>
                      <c:pt idx="5">
                        <c:v>1.6953186224019401</c:v>
                      </c:pt>
                      <c:pt idx="6">
                        <c:v>1.2528971844936001</c:v>
                      </c:pt>
                    </c:numCache>
                  </c:numRef>
                </c:val>
                <c:extLst xmlns:c16r2="http://schemas.microsoft.com/office/drawing/2015/06/chart">
                  <c:ext xmlns:c16="http://schemas.microsoft.com/office/drawing/2014/chart" uri="{C3380CC4-5D6E-409C-BE32-E72D297353CC}">
                    <c16:uniqueId val="{00000001-723D-49DE-A0BF-5B5EC820E80F}"/>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Wh'!$A$5</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Wh'!$B$5:$H$5</c15:sqref>
                        </c15:formulaRef>
                      </c:ext>
                    </c:extLst>
                    <c:numCache>
                      <c:formatCode>0.00</c:formatCode>
                      <c:ptCount val="7"/>
                      <c:pt idx="0">
                        <c:v>0.69609534067140399</c:v>
                      </c:pt>
                      <c:pt idx="1">
                        <c:v>13.743053948079901</c:v>
                      </c:pt>
                      <c:pt idx="2">
                        <c:v>1.0060417191042399</c:v>
                      </c:pt>
                      <c:pt idx="3">
                        <c:v>0.65842392910427305</c:v>
                      </c:pt>
                      <c:pt idx="4">
                        <c:v>0.95157404966124903</c:v>
                      </c:pt>
                      <c:pt idx="5">
                        <c:v>0.94799930500015395</c:v>
                      </c:pt>
                      <c:pt idx="6">
                        <c:v>1.1185986067246101</c:v>
                      </c:pt>
                    </c:numCache>
                  </c:numRef>
                </c:val>
                <c:extLst xmlns:c15="http://schemas.microsoft.com/office/drawing/2012/chart" xmlns:c16r2="http://schemas.microsoft.com/office/drawing/2015/06/chart">
                  <c:ext xmlns:c16="http://schemas.microsoft.com/office/drawing/2014/chart" uri="{C3380CC4-5D6E-409C-BE32-E72D297353CC}">
                    <c16:uniqueId val="{00000002-723D-49DE-A0BF-5B5EC820E80F}"/>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Wh'!$A$7</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Wh'!$B$7:$H$7</c15:sqref>
                        </c15:formulaRef>
                      </c:ext>
                    </c:extLst>
                    <c:numCache>
                      <c:formatCode>0.00</c:formatCode>
                      <c:ptCount val="7"/>
                      <c:pt idx="0">
                        <c:v>0</c:v>
                      </c:pt>
                      <c:pt idx="1">
                        <c:v>10.4163861168423</c:v>
                      </c:pt>
                      <c:pt idx="2">
                        <c:v>0</c:v>
                      </c:pt>
                      <c:pt idx="3">
                        <c:v>0.35136016072509402</c:v>
                      </c:pt>
                      <c:pt idx="4">
                        <c:v>0</c:v>
                      </c:pt>
                      <c:pt idx="5">
                        <c:v>0</c:v>
                      </c:pt>
                      <c:pt idx="6">
                        <c:v>0.66391563821280397</c:v>
                      </c:pt>
                    </c:numCache>
                  </c:numRef>
                </c:val>
                <c:extLst xmlns:c15="http://schemas.microsoft.com/office/drawing/2012/chart" xmlns:c16r2="http://schemas.microsoft.com/office/drawing/2015/06/chart">
                  <c:ext xmlns:c16="http://schemas.microsoft.com/office/drawing/2014/chart" uri="{C3380CC4-5D6E-409C-BE32-E72D297353CC}">
                    <c16:uniqueId val="{00000003-723D-49DE-A0BF-5B5EC820E80F}"/>
                  </c:ext>
                </c:extLst>
              </c15:ser>
            </c15:filteredBarSeries>
          </c:ext>
        </c:extLst>
      </c:barChart>
      <c:catAx>
        <c:axId val="5382796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3768"/>
        <c:crosses val="autoZero"/>
        <c:auto val="1"/>
        <c:lblAlgn val="ctr"/>
        <c:lblOffset val="100"/>
        <c:noMultiLvlLbl val="0"/>
      </c:catAx>
      <c:valAx>
        <c:axId val="53827376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96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74825021872265"/>
          <c:y val="3.7037037037037035E-2"/>
          <c:w val="0.81102952755905511"/>
          <c:h val="0.73577136191309422"/>
        </c:manualLayout>
      </c:layout>
      <c:barChart>
        <c:barDir val="bar"/>
        <c:grouping val="clustered"/>
        <c:varyColors val="0"/>
        <c:ser>
          <c:idx val="3"/>
          <c:order val="3"/>
          <c:tx>
            <c:strRef>
              <c:f>'4 Wh'!$A$7</c:f>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Wh'!$B$3:$H$3</c:f>
              <c:strCache>
                <c:ptCount val="7"/>
                <c:pt idx="0">
                  <c:v>Draft</c:v>
                </c:pt>
                <c:pt idx="1">
                  <c:v>BPM</c:v>
                </c:pt>
                <c:pt idx="2">
                  <c:v>TTC</c:v>
                </c:pt>
                <c:pt idx="3">
                  <c:v>SP</c:v>
                </c:pt>
                <c:pt idx="4">
                  <c:v>TTC-O</c:v>
                </c:pt>
                <c:pt idx="5">
                  <c:v>SP-O</c:v>
                </c:pt>
                <c:pt idx="6">
                  <c:v>OC</c:v>
                </c:pt>
              </c:strCache>
            </c:strRef>
          </c:cat>
          <c:val>
            <c:numRef>
              <c:f>'4 Wh'!$B$7:$H$7</c:f>
              <c:numCache>
                <c:formatCode>0.00</c:formatCode>
                <c:ptCount val="7"/>
                <c:pt idx="0">
                  <c:v>0</c:v>
                </c:pt>
                <c:pt idx="1">
                  <c:v>10.4163861168423</c:v>
                </c:pt>
                <c:pt idx="2">
                  <c:v>0</c:v>
                </c:pt>
                <c:pt idx="3">
                  <c:v>0.35136016072509402</c:v>
                </c:pt>
                <c:pt idx="4">
                  <c:v>0</c:v>
                </c:pt>
                <c:pt idx="5">
                  <c:v>0</c:v>
                </c:pt>
                <c:pt idx="6">
                  <c:v>0.66391563821280397</c:v>
                </c:pt>
              </c:numCache>
            </c:numRef>
          </c:val>
          <c:extLst xmlns:c16r2="http://schemas.microsoft.com/office/drawing/2015/06/chart">
            <c:ext xmlns:c16="http://schemas.microsoft.com/office/drawing/2014/chart" uri="{C3380CC4-5D6E-409C-BE32-E72D297353CC}">
              <c16:uniqueId val="{00000000-EB68-472F-BE91-D9D7D862A21C}"/>
            </c:ext>
          </c:extLst>
        </c:ser>
        <c:dLbls>
          <c:dLblPos val="outEnd"/>
          <c:showLegendKey val="0"/>
          <c:showVal val="1"/>
          <c:showCatName val="0"/>
          <c:showSerName val="0"/>
          <c:showPercent val="0"/>
          <c:showBubbleSize val="0"/>
        </c:dLbls>
        <c:gapWidth val="182"/>
        <c:axId val="538281216"/>
        <c:axId val="53828160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Wh'!$A$4</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Wh'!$B$4:$H$4</c15:sqref>
                        </c15:formulaRef>
                      </c:ext>
                    </c:extLst>
                    <c:numCache>
                      <c:formatCode>0.00</c:formatCode>
                      <c:ptCount val="7"/>
                      <c:pt idx="0">
                        <c:v>1.8714821658034899</c:v>
                      </c:pt>
                      <c:pt idx="1">
                        <c:v>9.7053184624581199</c:v>
                      </c:pt>
                      <c:pt idx="2">
                        <c:v>1.97599478177732</c:v>
                      </c:pt>
                      <c:pt idx="3">
                        <c:v>1.33058663755774</c:v>
                      </c:pt>
                      <c:pt idx="4">
                        <c:v>1.6953138349168</c:v>
                      </c:pt>
                      <c:pt idx="5">
                        <c:v>1.6953186224019401</c:v>
                      </c:pt>
                      <c:pt idx="6">
                        <c:v>1.2528971844936001</c:v>
                      </c:pt>
                    </c:numCache>
                  </c:numRef>
                </c:val>
                <c:extLst xmlns:c16r2="http://schemas.microsoft.com/office/drawing/2015/06/chart">
                  <c:ext xmlns:c16="http://schemas.microsoft.com/office/drawing/2014/chart" uri="{C3380CC4-5D6E-409C-BE32-E72D297353CC}">
                    <c16:uniqueId val="{00000001-EB68-472F-BE91-D9D7D862A21C}"/>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Wh'!$A$5</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Wh'!$B$5:$H$5</c15:sqref>
                        </c15:formulaRef>
                      </c:ext>
                    </c:extLst>
                    <c:numCache>
                      <c:formatCode>0.00</c:formatCode>
                      <c:ptCount val="7"/>
                      <c:pt idx="0">
                        <c:v>0.69609534067140399</c:v>
                      </c:pt>
                      <c:pt idx="1">
                        <c:v>13.743053948079901</c:v>
                      </c:pt>
                      <c:pt idx="2">
                        <c:v>1.0060417191042399</c:v>
                      </c:pt>
                      <c:pt idx="3">
                        <c:v>0.65842392910427305</c:v>
                      </c:pt>
                      <c:pt idx="4">
                        <c:v>0.95157404966124903</c:v>
                      </c:pt>
                      <c:pt idx="5">
                        <c:v>0.94799930500015395</c:v>
                      </c:pt>
                      <c:pt idx="6">
                        <c:v>1.1185986067246101</c:v>
                      </c:pt>
                    </c:numCache>
                  </c:numRef>
                </c:val>
                <c:extLst xmlns:c15="http://schemas.microsoft.com/office/drawing/2012/chart" xmlns:c16r2="http://schemas.microsoft.com/office/drawing/2015/06/chart">
                  <c:ext xmlns:c16="http://schemas.microsoft.com/office/drawing/2014/chart" uri="{C3380CC4-5D6E-409C-BE32-E72D297353CC}">
                    <c16:uniqueId val="{00000002-EB68-472F-BE91-D9D7D862A21C}"/>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Wh'!$A$6</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Wh'!$B$3:$H$3</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Wh'!$B$6:$H$6</c15:sqref>
                        </c15:formulaRef>
                      </c:ext>
                    </c:extLst>
                    <c:numCache>
                      <c:formatCode>0.00</c:formatCode>
                      <c:ptCount val="7"/>
                      <c:pt idx="0">
                        <c:v>0.12663131103285399</c:v>
                      </c:pt>
                      <c:pt idx="1">
                        <c:v>13.375202492051301</c:v>
                      </c:pt>
                      <c:pt idx="2">
                        <c:v>0.56313438054109999</c:v>
                      </c:pt>
                      <c:pt idx="3">
                        <c:v>0.51047838664357803</c:v>
                      </c:pt>
                      <c:pt idx="4">
                        <c:v>0.28175608538229302</c:v>
                      </c:pt>
                      <c:pt idx="5">
                        <c:v>0.28175608538229302</c:v>
                      </c:pt>
                      <c:pt idx="6">
                        <c:v>0.84799696860921903</c:v>
                      </c:pt>
                    </c:numCache>
                  </c:numRef>
                </c:val>
                <c:extLst xmlns:c15="http://schemas.microsoft.com/office/drawing/2012/chart" xmlns:c16r2="http://schemas.microsoft.com/office/drawing/2015/06/chart">
                  <c:ext xmlns:c16="http://schemas.microsoft.com/office/drawing/2014/chart" uri="{C3380CC4-5D6E-409C-BE32-E72D297353CC}">
                    <c16:uniqueId val="{00000003-EB68-472F-BE91-D9D7D862A21C}"/>
                  </c:ext>
                </c:extLst>
              </c15:ser>
            </c15:filteredBarSeries>
          </c:ext>
        </c:extLst>
      </c:barChart>
      <c:catAx>
        <c:axId val="5382812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1608"/>
        <c:crosses val="autoZero"/>
        <c:auto val="1"/>
        <c:lblAlgn val="ctr"/>
        <c:lblOffset val="100"/>
        <c:noMultiLvlLbl val="0"/>
      </c:catAx>
      <c:valAx>
        <c:axId val="53828160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'4 Wh'!$A$10</c:f>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Wh'!$B$9:$H$9</c:f>
              <c:strCache>
                <c:ptCount val="7"/>
                <c:pt idx="0">
                  <c:v>Draft</c:v>
                </c:pt>
                <c:pt idx="1">
                  <c:v>BPM</c:v>
                </c:pt>
                <c:pt idx="2">
                  <c:v>TTC</c:v>
                </c:pt>
                <c:pt idx="3">
                  <c:v>SP</c:v>
                </c:pt>
                <c:pt idx="4">
                  <c:v>TTC-O</c:v>
                </c:pt>
                <c:pt idx="5">
                  <c:v>SP-O</c:v>
                </c:pt>
                <c:pt idx="6">
                  <c:v>OC</c:v>
                </c:pt>
              </c:strCache>
            </c:strRef>
          </c:cat>
          <c:val>
            <c:numRef>
              <c:f>'4 Wh'!$B$10:$H$10</c:f>
              <c:numCache>
                <c:formatCode>0.00</c:formatCode>
                <c:ptCount val="7"/>
                <c:pt idx="0">
                  <c:v>0</c:v>
                </c:pt>
                <c:pt idx="1">
                  <c:v>0</c:v>
                </c:pt>
                <c:pt idx="2">
                  <c:v>0.18865159401248199</c:v>
                </c:pt>
                <c:pt idx="3">
                  <c:v>0.62761496674503603</c:v>
                </c:pt>
                <c:pt idx="4">
                  <c:v>8.6434815678978705E-2</c:v>
                </c:pt>
                <c:pt idx="5">
                  <c:v>8.6434815678978705E-2</c:v>
                </c:pt>
                <c:pt idx="6">
                  <c:v>0.59191937733876598</c:v>
                </c:pt>
              </c:numCache>
            </c:numRef>
          </c:val>
          <c:extLst xmlns:c16r2="http://schemas.microsoft.com/office/drawing/2015/06/chart">
            <c:ext xmlns:c16="http://schemas.microsoft.com/office/drawing/2014/chart" uri="{C3380CC4-5D6E-409C-BE32-E72D297353CC}">
              <c16:uniqueId val="{00000000-EE9B-4E21-8EB6-5BC2B9272133}"/>
            </c:ext>
          </c:extLst>
        </c:ser>
        <c:dLbls>
          <c:dLblPos val="outEnd"/>
          <c:showLegendKey val="0"/>
          <c:showVal val="1"/>
          <c:showCatName val="0"/>
          <c:showSerName val="0"/>
          <c:showPercent val="0"/>
          <c:showBubbleSize val="0"/>
        </c:dLbls>
        <c:gapWidth val="182"/>
        <c:axId val="538282000"/>
        <c:axId val="538276120"/>
        <c:extLst xmlns:c16r2="http://schemas.microsoft.com/office/drawing/2015/06/chart">
          <c:ext xmlns:c15="http://schemas.microsoft.com/office/drawing/2012/chart" uri="{02D57815-91ED-43cb-92C2-25804820EDAC}">
            <c15:filteredBarSeries>
              <c15:ser>
                <c:idx val="1"/>
                <c:order val="1"/>
                <c:tx>
                  <c:strRef>
                    <c:extLst xmlns:c16r2="http://schemas.microsoft.com/office/drawing/2015/06/chart">
                      <c:ext uri="{02D57815-91ED-43cb-92C2-25804820EDAC}">
                        <c15:formulaRef>
                          <c15:sqref>'4 Wh'!$A$11</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Wh'!$B$11:$H$11</c15:sqref>
                        </c15:formulaRef>
                      </c:ext>
                    </c:extLst>
                    <c:numCache>
                      <c:formatCode>0.00</c:formatCode>
                      <c:ptCount val="7"/>
                      <c:pt idx="0">
                        <c:v>7.5504059776070595E-2</c:v>
                      </c:pt>
                      <c:pt idx="1">
                        <c:v>0</c:v>
                      </c:pt>
                      <c:pt idx="2">
                        <c:v>1.33028075920535</c:v>
                      </c:pt>
                      <c:pt idx="3">
                        <c:v>1.0057371746717501</c:v>
                      </c:pt>
                      <c:pt idx="4">
                        <c:v>0.79818206327232299</c:v>
                      </c:pt>
                      <c:pt idx="5">
                        <c:v>0.79818206327232299</c:v>
                      </c:pt>
                      <c:pt idx="6">
                        <c:v>1.2418769961394001</c:v>
                      </c:pt>
                    </c:numCache>
                  </c:numRef>
                </c:val>
                <c:extLst xmlns:c16r2="http://schemas.microsoft.com/office/drawing/2015/06/chart">
                  <c:ext xmlns:c16="http://schemas.microsoft.com/office/drawing/2014/chart" uri="{C3380CC4-5D6E-409C-BE32-E72D297353CC}">
                    <c16:uniqueId val="{00000001-EE9B-4E21-8EB6-5BC2B9272133}"/>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Wh'!$A$12</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Wh'!$B$12:$H$12</c15:sqref>
                        </c15:formulaRef>
                      </c:ext>
                    </c:extLst>
                    <c:numCache>
                      <c:formatCode>0.00</c:formatCode>
                      <c:ptCount val="7"/>
                      <c:pt idx="0">
                        <c:v>0.77834966717754095</c:v>
                      </c:pt>
                      <c:pt idx="1">
                        <c:v>0</c:v>
                      </c:pt>
                      <c:pt idx="2">
                        <c:v>1.2010714652323899</c:v>
                      </c:pt>
                      <c:pt idx="3">
                        <c:v>0.79401198945153595</c:v>
                      </c:pt>
                      <c:pt idx="4">
                        <c:v>1.35042160955235</c:v>
                      </c:pt>
                      <c:pt idx="5">
                        <c:v>1.35042160955235</c:v>
                      </c:pt>
                      <c:pt idx="6">
                        <c:v>2.8227276930212701</c:v>
                      </c:pt>
                    </c:numCache>
                  </c:numRef>
                </c:val>
                <c:extLst xmlns:c15="http://schemas.microsoft.com/office/drawing/2012/chart" xmlns:c16r2="http://schemas.microsoft.com/office/drawing/2015/06/chart">
                  <c:ext xmlns:c16="http://schemas.microsoft.com/office/drawing/2014/chart" uri="{C3380CC4-5D6E-409C-BE32-E72D297353CC}">
                    <c16:uniqueId val="{00000002-EE9B-4E21-8EB6-5BC2B9272133}"/>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Wh'!$A$13</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Wh'!$B$13:$H$13</c15:sqref>
                        </c15:formulaRef>
                      </c:ext>
                    </c:extLst>
                    <c:numCache>
                      <c:formatCode>0.00</c:formatCode>
                      <c:ptCount val="7"/>
                      <c:pt idx="0">
                        <c:v>0.47485861223937198</c:v>
                      </c:pt>
                      <c:pt idx="1">
                        <c:v>6.16556941075397</c:v>
                      </c:pt>
                      <c:pt idx="2">
                        <c:v>1.07761960285805</c:v>
                      </c:pt>
                      <c:pt idx="3">
                        <c:v>1.02451158344039</c:v>
                      </c:pt>
                      <c:pt idx="4">
                        <c:v>0.83751775760909097</c:v>
                      </c:pt>
                      <c:pt idx="5">
                        <c:v>0.83751775760909097</c:v>
                      </c:pt>
                      <c:pt idx="6">
                        <c:v>3.7238601512485601</c:v>
                      </c:pt>
                    </c:numCache>
                  </c:numRef>
                </c:val>
                <c:extLst xmlns:c15="http://schemas.microsoft.com/office/drawing/2012/chart" xmlns:c16r2="http://schemas.microsoft.com/office/drawing/2015/06/chart">
                  <c:ext xmlns:c16="http://schemas.microsoft.com/office/drawing/2014/chart" uri="{C3380CC4-5D6E-409C-BE32-E72D297353CC}">
                    <c16:uniqueId val="{00000003-EE9B-4E21-8EB6-5BC2B9272133}"/>
                  </c:ext>
                </c:extLst>
              </c15:ser>
            </c15:filteredBarSeries>
          </c:ext>
        </c:extLst>
      </c:barChart>
      <c:catAx>
        <c:axId val="5382820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6120"/>
        <c:crosses val="autoZero"/>
        <c:auto val="1"/>
        <c:lblAlgn val="ctr"/>
        <c:lblOffset val="100"/>
        <c:noMultiLvlLbl val="0"/>
      </c:catAx>
      <c:valAx>
        <c:axId val="53827612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2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1"/>
          <c:tx>
            <c:strRef>
              <c:f>'4 Wh'!$A$11</c:f>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Wh'!$B$9:$H$9</c:f>
              <c:strCache>
                <c:ptCount val="7"/>
                <c:pt idx="0">
                  <c:v>Draft</c:v>
                </c:pt>
                <c:pt idx="1">
                  <c:v>BPM</c:v>
                </c:pt>
                <c:pt idx="2">
                  <c:v>TTC</c:v>
                </c:pt>
                <c:pt idx="3">
                  <c:v>SP</c:v>
                </c:pt>
                <c:pt idx="4">
                  <c:v>TTC-O</c:v>
                </c:pt>
                <c:pt idx="5">
                  <c:v>SP-O</c:v>
                </c:pt>
                <c:pt idx="6">
                  <c:v>OC</c:v>
                </c:pt>
              </c:strCache>
            </c:strRef>
          </c:cat>
          <c:val>
            <c:numRef>
              <c:f>'4 Wh'!$B$11:$H$11</c:f>
              <c:numCache>
                <c:formatCode>0.00</c:formatCode>
                <c:ptCount val="7"/>
                <c:pt idx="0">
                  <c:v>7.5504059776070595E-2</c:v>
                </c:pt>
                <c:pt idx="1">
                  <c:v>0</c:v>
                </c:pt>
                <c:pt idx="2">
                  <c:v>1.33028075920535</c:v>
                </c:pt>
                <c:pt idx="3">
                  <c:v>1.0057371746717501</c:v>
                </c:pt>
                <c:pt idx="4">
                  <c:v>0.79818206327232299</c:v>
                </c:pt>
                <c:pt idx="5">
                  <c:v>0.79818206327232299</c:v>
                </c:pt>
                <c:pt idx="6">
                  <c:v>1.2418769961394001</c:v>
                </c:pt>
              </c:numCache>
            </c:numRef>
          </c:val>
          <c:extLst xmlns:c16r2="http://schemas.microsoft.com/office/drawing/2015/06/chart">
            <c:ext xmlns:c16="http://schemas.microsoft.com/office/drawing/2014/chart" uri="{C3380CC4-5D6E-409C-BE32-E72D297353CC}">
              <c16:uniqueId val="{00000000-C6A2-4A69-97D9-AEE5374815F9}"/>
            </c:ext>
          </c:extLst>
        </c:ser>
        <c:dLbls>
          <c:dLblPos val="outEnd"/>
          <c:showLegendKey val="0"/>
          <c:showVal val="1"/>
          <c:showCatName val="0"/>
          <c:showSerName val="0"/>
          <c:showPercent val="0"/>
          <c:showBubbleSize val="0"/>
        </c:dLbls>
        <c:gapWidth val="182"/>
        <c:axId val="538282392"/>
        <c:axId val="53828356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Wh'!$A$10</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Wh'!$B$10:$H$10</c15:sqref>
                        </c15:formulaRef>
                      </c:ext>
                    </c:extLst>
                    <c:numCache>
                      <c:formatCode>0.00</c:formatCode>
                      <c:ptCount val="7"/>
                      <c:pt idx="0">
                        <c:v>0</c:v>
                      </c:pt>
                      <c:pt idx="1">
                        <c:v>0</c:v>
                      </c:pt>
                      <c:pt idx="2">
                        <c:v>0.18865159401248199</c:v>
                      </c:pt>
                      <c:pt idx="3">
                        <c:v>0.62761496674503603</c:v>
                      </c:pt>
                      <c:pt idx="4">
                        <c:v>8.6434815678978705E-2</c:v>
                      </c:pt>
                      <c:pt idx="5">
                        <c:v>8.6434815678978705E-2</c:v>
                      </c:pt>
                      <c:pt idx="6">
                        <c:v>0.59191937733876598</c:v>
                      </c:pt>
                    </c:numCache>
                  </c:numRef>
                </c:val>
                <c:extLst xmlns:c16r2="http://schemas.microsoft.com/office/drawing/2015/06/chart">
                  <c:ext xmlns:c16="http://schemas.microsoft.com/office/drawing/2014/chart" uri="{C3380CC4-5D6E-409C-BE32-E72D297353CC}">
                    <c16:uniqueId val="{00000001-C6A2-4A69-97D9-AEE5374815F9}"/>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Wh'!$A$12</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Wh'!$B$12:$H$12</c15:sqref>
                        </c15:formulaRef>
                      </c:ext>
                    </c:extLst>
                    <c:numCache>
                      <c:formatCode>0.00</c:formatCode>
                      <c:ptCount val="7"/>
                      <c:pt idx="0">
                        <c:v>0.77834966717754095</c:v>
                      </c:pt>
                      <c:pt idx="1">
                        <c:v>0</c:v>
                      </c:pt>
                      <c:pt idx="2">
                        <c:v>1.2010714652323899</c:v>
                      </c:pt>
                      <c:pt idx="3">
                        <c:v>0.79401198945153595</c:v>
                      </c:pt>
                      <c:pt idx="4">
                        <c:v>1.35042160955235</c:v>
                      </c:pt>
                      <c:pt idx="5">
                        <c:v>1.35042160955235</c:v>
                      </c:pt>
                      <c:pt idx="6">
                        <c:v>2.8227276930212701</c:v>
                      </c:pt>
                    </c:numCache>
                  </c:numRef>
                </c:val>
                <c:extLst xmlns:c15="http://schemas.microsoft.com/office/drawing/2012/chart" xmlns:c16r2="http://schemas.microsoft.com/office/drawing/2015/06/chart">
                  <c:ext xmlns:c16="http://schemas.microsoft.com/office/drawing/2014/chart" uri="{C3380CC4-5D6E-409C-BE32-E72D297353CC}">
                    <c16:uniqueId val="{00000002-C6A2-4A69-97D9-AEE5374815F9}"/>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Wh'!$A$13</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Wh'!$B$13:$H$13</c15:sqref>
                        </c15:formulaRef>
                      </c:ext>
                    </c:extLst>
                    <c:numCache>
                      <c:formatCode>0.00</c:formatCode>
                      <c:ptCount val="7"/>
                      <c:pt idx="0">
                        <c:v>0.47485861223937198</c:v>
                      </c:pt>
                      <c:pt idx="1">
                        <c:v>6.16556941075397</c:v>
                      </c:pt>
                      <c:pt idx="2">
                        <c:v>1.07761960285805</c:v>
                      </c:pt>
                      <c:pt idx="3">
                        <c:v>1.02451158344039</c:v>
                      </c:pt>
                      <c:pt idx="4">
                        <c:v>0.83751775760909097</c:v>
                      </c:pt>
                      <c:pt idx="5">
                        <c:v>0.83751775760909097</c:v>
                      </c:pt>
                      <c:pt idx="6">
                        <c:v>3.7238601512485601</c:v>
                      </c:pt>
                    </c:numCache>
                  </c:numRef>
                </c:val>
                <c:extLst xmlns:c15="http://schemas.microsoft.com/office/drawing/2012/chart" xmlns:c16r2="http://schemas.microsoft.com/office/drawing/2015/06/chart">
                  <c:ext xmlns:c16="http://schemas.microsoft.com/office/drawing/2014/chart" uri="{C3380CC4-5D6E-409C-BE32-E72D297353CC}">
                    <c16:uniqueId val="{00000003-C6A2-4A69-97D9-AEE5374815F9}"/>
                  </c:ext>
                </c:extLst>
              </c15:ser>
            </c15:filteredBarSeries>
          </c:ext>
        </c:extLst>
      </c:barChart>
      <c:catAx>
        <c:axId val="5382823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3568"/>
        <c:crosses val="autoZero"/>
        <c:auto val="1"/>
        <c:lblAlgn val="ctr"/>
        <c:lblOffset val="100"/>
        <c:noMultiLvlLbl val="0"/>
      </c:catAx>
      <c:valAx>
        <c:axId val="53828356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82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2"/>
          <c:order val="2"/>
          <c:tx>
            <c:strRef>
              <c:f>'4 Wh'!$A$12</c:f>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Wh'!$B$9:$H$9</c:f>
              <c:strCache>
                <c:ptCount val="7"/>
                <c:pt idx="0">
                  <c:v>Draft</c:v>
                </c:pt>
                <c:pt idx="1">
                  <c:v>BPM</c:v>
                </c:pt>
                <c:pt idx="2">
                  <c:v>TTC</c:v>
                </c:pt>
                <c:pt idx="3">
                  <c:v>SP</c:v>
                </c:pt>
                <c:pt idx="4">
                  <c:v>TTC-O</c:v>
                </c:pt>
                <c:pt idx="5">
                  <c:v>SP-O</c:v>
                </c:pt>
                <c:pt idx="6">
                  <c:v>OC</c:v>
                </c:pt>
              </c:strCache>
            </c:strRef>
          </c:cat>
          <c:val>
            <c:numRef>
              <c:f>'4 Wh'!$B$12:$H$12</c:f>
              <c:numCache>
                <c:formatCode>0.00</c:formatCode>
                <c:ptCount val="7"/>
                <c:pt idx="0">
                  <c:v>0.77834966717754095</c:v>
                </c:pt>
                <c:pt idx="1">
                  <c:v>0</c:v>
                </c:pt>
                <c:pt idx="2">
                  <c:v>1.2010714652323899</c:v>
                </c:pt>
                <c:pt idx="3">
                  <c:v>0.79401198945153595</c:v>
                </c:pt>
                <c:pt idx="4">
                  <c:v>1.35042160955235</c:v>
                </c:pt>
                <c:pt idx="5">
                  <c:v>1.35042160955235</c:v>
                </c:pt>
                <c:pt idx="6">
                  <c:v>2.8227276930212701</c:v>
                </c:pt>
              </c:numCache>
            </c:numRef>
          </c:val>
          <c:extLst xmlns:c16r2="http://schemas.microsoft.com/office/drawing/2015/06/chart">
            <c:ext xmlns:c16="http://schemas.microsoft.com/office/drawing/2014/chart" uri="{C3380CC4-5D6E-409C-BE32-E72D297353CC}">
              <c16:uniqueId val="{00000000-7566-4432-ACB3-1BAED18CB92B}"/>
            </c:ext>
          </c:extLst>
        </c:ser>
        <c:dLbls>
          <c:dLblPos val="outEnd"/>
          <c:showLegendKey val="0"/>
          <c:showVal val="1"/>
          <c:showCatName val="0"/>
          <c:showSerName val="0"/>
          <c:showPercent val="0"/>
          <c:showBubbleSize val="0"/>
        </c:dLbls>
        <c:gapWidth val="182"/>
        <c:axId val="538276512"/>
        <c:axId val="538275728"/>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Wh'!$A$10</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Wh'!$B$10:$H$10</c15:sqref>
                        </c15:formulaRef>
                      </c:ext>
                    </c:extLst>
                    <c:numCache>
                      <c:formatCode>0.00</c:formatCode>
                      <c:ptCount val="7"/>
                      <c:pt idx="0">
                        <c:v>0</c:v>
                      </c:pt>
                      <c:pt idx="1">
                        <c:v>0</c:v>
                      </c:pt>
                      <c:pt idx="2">
                        <c:v>0.18865159401248199</c:v>
                      </c:pt>
                      <c:pt idx="3">
                        <c:v>0.62761496674503603</c:v>
                      </c:pt>
                      <c:pt idx="4">
                        <c:v>8.6434815678978705E-2</c:v>
                      </c:pt>
                      <c:pt idx="5">
                        <c:v>8.6434815678978705E-2</c:v>
                      </c:pt>
                      <c:pt idx="6">
                        <c:v>0.59191937733876598</c:v>
                      </c:pt>
                    </c:numCache>
                  </c:numRef>
                </c:val>
                <c:extLst xmlns:c16r2="http://schemas.microsoft.com/office/drawing/2015/06/chart">
                  <c:ext xmlns:c16="http://schemas.microsoft.com/office/drawing/2014/chart" uri="{C3380CC4-5D6E-409C-BE32-E72D297353CC}">
                    <c16:uniqueId val="{00000001-7566-4432-ACB3-1BAED18CB92B}"/>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Wh'!$A$11</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Wh'!$B$11:$H$11</c15:sqref>
                        </c15:formulaRef>
                      </c:ext>
                    </c:extLst>
                    <c:numCache>
                      <c:formatCode>0.00</c:formatCode>
                      <c:ptCount val="7"/>
                      <c:pt idx="0">
                        <c:v>7.5504059776070595E-2</c:v>
                      </c:pt>
                      <c:pt idx="1">
                        <c:v>0</c:v>
                      </c:pt>
                      <c:pt idx="2">
                        <c:v>1.33028075920535</c:v>
                      </c:pt>
                      <c:pt idx="3">
                        <c:v>1.0057371746717501</c:v>
                      </c:pt>
                      <c:pt idx="4">
                        <c:v>0.79818206327232299</c:v>
                      </c:pt>
                      <c:pt idx="5">
                        <c:v>0.79818206327232299</c:v>
                      </c:pt>
                      <c:pt idx="6">
                        <c:v>1.2418769961394001</c:v>
                      </c:pt>
                    </c:numCache>
                  </c:numRef>
                </c:val>
                <c:extLst xmlns:c15="http://schemas.microsoft.com/office/drawing/2012/chart" xmlns:c16r2="http://schemas.microsoft.com/office/drawing/2015/06/chart">
                  <c:ext xmlns:c16="http://schemas.microsoft.com/office/drawing/2014/chart" uri="{C3380CC4-5D6E-409C-BE32-E72D297353CC}">
                    <c16:uniqueId val="{00000002-7566-4432-ACB3-1BAED18CB92B}"/>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Wh'!$A$13</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Wh'!$B$13:$H$13</c15:sqref>
                        </c15:formulaRef>
                      </c:ext>
                    </c:extLst>
                    <c:numCache>
                      <c:formatCode>0.00</c:formatCode>
                      <c:ptCount val="7"/>
                      <c:pt idx="0">
                        <c:v>0.47485861223937198</c:v>
                      </c:pt>
                      <c:pt idx="1">
                        <c:v>6.16556941075397</c:v>
                      </c:pt>
                      <c:pt idx="2">
                        <c:v>1.07761960285805</c:v>
                      </c:pt>
                      <c:pt idx="3">
                        <c:v>1.02451158344039</c:v>
                      </c:pt>
                      <c:pt idx="4">
                        <c:v>0.83751775760909097</c:v>
                      </c:pt>
                      <c:pt idx="5">
                        <c:v>0.83751775760909097</c:v>
                      </c:pt>
                      <c:pt idx="6">
                        <c:v>3.7238601512485601</c:v>
                      </c:pt>
                    </c:numCache>
                  </c:numRef>
                </c:val>
                <c:extLst xmlns:c15="http://schemas.microsoft.com/office/drawing/2012/chart" xmlns:c16r2="http://schemas.microsoft.com/office/drawing/2015/06/chart">
                  <c:ext xmlns:c16="http://schemas.microsoft.com/office/drawing/2014/chart" uri="{C3380CC4-5D6E-409C-BE32-E72D297353CC}">
                    <c16:uniqueId val="{00000003-7566-4432-ACB3-1BAED18CB92B}"/>
                  </c:ext>
                </c:extLst>
              </c15:ser>
            </c15:filteredBarSeries>
          </c:ext>
        </c:extLst>
      </c:barChart>
      <c:catAx>
        <c:axId val="53827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5728"/>
        <c:crosses val="autoZero"/>
        <c:auto val="1"/>
        <c:lblAlgn val="ctr"/>
        <c:lblOffset val="100"/>
        <c:noMultiLvlLbl val="0"/>
      </c:catAx>
      <c:valAx>
        <c:axId val="53827572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6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3"/>
          <c:order val="3"/>
          <c:tx>
            <c:strRef>
              <c:f>'4 Wh'!$A$13</c:f>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Wh'!$B$9:$H$9</c:f>
              <c:strCache>
                <c:ptCount val="7"/>
                <c:pt idx="0">
                  <c:v>Draft</c:v>
                </c:pt>
                <c:pt idx="1">
                  <c:v>BPM</c:v>
                </c:pt>
                <c:pt idx="2">
                  <c:v>TTC</c:v>
                </c:pt>
                <c:pt idx="3">
                  <c:v>SP</c:v>
                </c:pt>
                <c:pt idx="4">
                  <c:v>TTC-O</c:v>
                </c:pt>
                <c:pt idx="5">
                  <c:v>SP-O</c:v>
                </c:pt>
                <c:pt idx="6">
                  <c:v>OC</c:v>
                </c:pt>
              </c:strCache>
            </c:strRef>
          </c:cat>
          <c:val>
            <c:numRef>
              <c:f>'4 Wh'!$B$13:$H$13</c:f>
              <c:numCache>
                <c:formatCode>0.00</c:formatCode>
                <c:ptCount val="7"/>
                <c:pt idx="0">
                  <c:v>0.47485861223937198</c:v>
                </c:pt>
                <c:pt idx="1">
                  <c:v>6.16556941075397</c:v>
                </c:pt>
                <c:pt idx="2">
                  <c:v>1.07761960285805</c:v>
                </c:pt>
                <c:pt idx="3">
                  <c:v>1.02451158344039</c:v>
                </c:pt>
                <c:pt idx="4">
                  <c:v>0.83751775760909097</c:v>
                </c:pt>
                <c:pt idx="5">
                  <c:v>0.83751775760909097</c:v>
                </c:pt>
                <c:pt idx="6">
                  <c:v>3.7238601512485601</c:v>
                </c:pt>
              </c:numCache>
            </c:numRef>
          </c:val>
          <c:extLst xmlns:c16r2="http://schemas.microsoft.com/office/drawing/2015/06/chart">
            <c:ext xmlns:c16="http://schemas.microsoft.com/office/drawing/2014/chart" uri="{C3380CC4-5D6E-409C-BE32-E72D297353CC}">
              <c16:uniqueId val="{00000000-9EA9-454F-B466-CA9910427EB7}"/>
            </c:ext>
          </c:extLst>
        </c:ser>
        <c:dLbls>
          <c:dLblPos val="outEnd"/>
          <c:showLegendKey val="0"/>
          <c:showVal val="1"/>
          <c:showCatName val="0"/>
          <c:showSerName val="0"/>
          <c:showPercent val="0"/>
          <c:showBubbleSize val="0"/>
        </c:dLbls>
        <c:gapWidth val="182"/>
        <c:axId val="538276904"/>
        <c:axId val="538272592"/>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'4 Wh'!$A$10</c15:sqref>
                        </c15:formulaRef>
                      </c:ext>
                    </c:extLst>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Wh'!$B$10:$H$10</c15:sqref>
                        </c15:formulaRef>
                      </c:ext>
                    </c:extLst>
                    <c:numCache>
                      <c:formatCode>0.00</c:formatCode>
                      <c:ptCount val="7"/>
                      <c:pt idx="0">
                        <c:v>0</c:v>
                      </c:pt>
                      <c:pt idx="1">
                        <c:v>0</c:v>
                      </c:pt>
                      <c:pt idx="2">
                        <c:v>0.18865159401248199</c:v>
                      </c:pt>
                      <c:pt idx="3">
                        <c:v>0.62761496674503603</c:v>
                      </c:pt>
                      <c:pt idx="4">
                        <c:v>8.6434815678978705E-2</c:v>
                      </c:pt>
                      <c:pt idx="5">
                        <c:v>8.6434815678978705E-2</c:v>
                      </c:pt>
                      <c:pt idx="6">
                        <c:v>0.59191937733876598</c:v>
                      </c:pt>
                    </c:numCache>
                  </c:numRef>
                </c:val>
                <c:extLst xmlns:c16r2="http://schemas.microsoft.com/office/drawing/2015/06/chart">
                  <c:ext xmlns:c16="http://schemas.microsoft.com/office/drawing/2014/chart" uri="{C3380CC4-5D6E-409C-BE32-E72D297353CC}">
                    <c16:uniqueId val="{00000001-9EA9-454F-B466-CA9910427EB7}"/>
                  </c:ext>
                </c:extLst>
              </c15:ser>
            </c15:filteredBarSeries>
            <c15:filteredBarSeries>
              <c15:ser>
                <c:idx val="1"/>
                <c:order val="1"/>
                <c:tx>
                  <c:strRef>
                    <c:extLst xmlns:c15="http://schemas.microsoft.com/office/drawing/2012/chart" xmlns:c16r2="http://schemas.microsoft.com/office/drawing/2015/06/chart">
                      <c:ext xmlns:c15="http://schemas.microsoft.com/office/drawing/2012/chart" uri="{02D57815-91ED-43cb-92C2-25804820EDAC}">
                        <c15:formulaRef>
                          <c15:sqref>'4 Wh'!$A$11</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Wh'!$B$11:$H$11</c15:sqref>
                        </c15:formulaRef>
                      </c:ext>
                    </c:extLst>
                    <c:numCache>
                      <c:formatCode>0.00</c:formatCode>
                      <c:ptCount val="7"/>
                      <c:pt idx="0">
                        <c:v>7.5504059776070595E-2</c:v>
                      </c:pt>
                      <c:pt idx="1">
                        <c:v>0</c:v>
                      </c:pt>
                      <c:pt idx="2">
                        <c:v>1.33028075920535</c:v>
                      </c:pt>
                      <c:pt idx="3">
                        <c:v>1.0057371746717501</c:v>
                      </c:pt>
                      <c:pt idx="4">
                        <c:v>0.79818206327232299</c:v>
                      </c:pt>
                      <c:pt idx="5">
                        <c:v>0.79818206327232299</c:v>
                      </c:pt>
                      <c:pt idx="6">
                        <c:v>1.2418769961394001</c:v>
                      </c:pt>
                    </c:numCache>
                  </c:numRef>
                </c:val>
                <c:extLst xmlns:c15="http://schemas.microsoft.com/office/drawing/2012/chart" xmlns:c16r2="http://schemas.microsoft.com/office/drawing/2015/06/chart">
                  <c:ext xmlns:c16="http://schemas.microsoft.com/office/drawing/2014/chart" uri="{C3380CC4-5D6E-409C-BE32-E72D297353CC}">
                    <c16:uniqueId val="{00000002-9EA9-454F-B466-CA9910427EB7}"/>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Wh'!$A$12</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Wh'!$B$9:$H$9</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Wh'!$B$12:$H$12</c15:sqref>
                        </c15:formulaRef>
                      </c:ext>
                    </c:extLst>
                    <c:numCache>
                      <c:formatCode>0.00</c:formatCode>
                      <c:ptCount val="7"/>
                      <c:pt idx="0">
                        <c:v>0.77834966717754095</c:v>
                      </c:pt>
                      <c:pt idx="1">
                        <c:v>0</c:v>
                      </c:pt>
                      <c:pt idx="2">
                        <c:v>1.2010714652323899</c:v>
                      </c:pt>
                      <c:pt idx="3">
                        <c:v>0.79401198945153595</c:v>
                      </c:pt>
                      <c:pt idx="4">
                        <c:v>1.35042160955235</c:v>
                      </c:pt>
                      <c:pt idx="5">
                        <c:v>1.35042160955235</c:v>
                      </c:pt>
                      <c:pt idx="6">
                        <c:v>2.8227276930212701</c:v>
                      </c:pt>
                    </c:numCache>
                  </c:numRef>
                </c:val>
                <c:extLst xmlns:c15="http://schemas.microsoft.com/office/drawing/2012/chart" xmlns:c16r2="http://schemas.microsoft.com/office/drawing/2015/06/chart">
                  <c:ext xmlns:c16="http://schemas.microsoft.com/office/drawing/2014/chart" uri="{C3380CC4-5D6E-409C-BE32-E72D297353CC}">
                    <c16:uniqueId val="{00000003-9EA9-454F-B466-CA9910427EB7}"/>
                  </c:ext>
                </c:extLst>
              </c15:ser>
            </c15:filteredBarSeries>
          </c:ext>
        </c:extLst>
      </c:barChart>
      <c:catAx>
        <c:axId val="5382769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2592"/>
        <c:crosses val="autoZero"/>
        <c:auto val="1"/>
        <c:lblAlgn val="ctr"/>
        <c:lblOffset val="100"/>
        <c:noMultiLvlLbl val="0"/>
      </c:catAx>
      <c:valAx>
        <c:axId val="53827259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6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'4 Wh'!$A$16</c:f>
              <c:strCache>
                <c:ptCount val="1"/>
                <c:pt idx="0">
                  <c:v>wh = 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 Wh'!$B$15:$H$15</c:f>
              <c:strCache>
                <c:ptCount val="7"/>
                <c:pt idx="0">
                  <c:v>Draft</c:v>
                </c:pt>
                <c:pt idx="1">
                  <c:v>BPM</c:v>
                </c:pt>
                <c:pt idx="2">
                  <c:v>TTC</c:v>
                </c:pt>
                <c:pt idx="3">
                  <c:v>SP</c:v>
                </c:pt>
                <c:pt idx="4">
                  <c:v>TTC-O</c:v>
                </c:pt>
                <c:pt idx="5">
                  <c:v>SP-O</c:v>
                </c:pt>
                <c:pt idx="6">
                  <c:v>OC</c:v>
                </c:pt>
              </c:strCache>
            </c:strRef>
          </c:cat>
          <c:val>
            <c:numRef>
              <c:f>'4 Wh'!$B$16:$H$16</c:f>
              <c:numCache>
                <c:formatCode>0.00</c:formatCode>
                <c:ptCount val="7"/>
                <c:pt idx="0">
                  <c:v>2.2457785989641899</c:v>
                </c:pt>
                <c:pt idx="1">
                  <c:v>9.7053184624581199</c:v>
                </c:pt>
                <c:pt idx="2">
                  <c:v>1.5430655066193599</c:v>
                </c:pt>
                <c:pt idx="3">
                  <c:v>0.93894631669718798</c:v>
                </c:pt>
                <c:pt idx="4">
                  <c:v>1.6062264023870101</c:v>
                </c:pt>
                <c:pt idx="5">
                  <c:v>1.6062309504979</c:v>
                </c:pt>
                <c:pt idx="6">
                  <c:v>0.88393387212712504</c:v>
                </c:pt>
              </c:numCache>
            </c:numRef>
          </c:val>
          <c:extLst xmlns:c16r2="http://schemas.microsoft.com/office/drawing/2015/06/chart">
            <c:ext xmlns:c16="http://schemas.microsoft.com/office/drawing/2014/chart" uri="{C3380CC4-5D6E-409C-BE32-E72D297353CC}">
              <c16:uniqueId val="{00000000-3CB8-470E-96A3-37AB6FCD1856}"/>
            </c:ext>
          </c:extLst>
        </c:ser>
        <c:dLbls>
          <c:dLblPos val="outEnd"/>
          <c:showLegendKey val="0"/>
          <c:showVal val="1"/>
          <c:showCatName val="0"/>
          <c:showSerName val="0"/>
          <c:showPercent val="0"/>
          <c:showBubbleSize val="0"/>
        </c:dLbls>
        <c:gapWidth val="182"/>
        <c:axId val="538278080"/>
        <c:axId val="538278472"/>
        <c:extLst xmlns:c16r2="http://schemas.microsoft.com/office/drawing/2015/06/chart">
          <c:ext xmlns:c15="http://schemas.microsoft.com/office/drawing/2012/chart" uri="{02D57815-91ED-43cb-92C2-25804820EDAC}">
            <c15:filteredBarSeries>
              <c15:ser>
                <c:idx val="1"/>
                <c:order val="1"/>
                <c:tx>
                  <c:strRef>
                    <c:extLst xmlns:c16r2="http://schemas.microsoft.com/office/drawing/2015/06/chart">
                      <c:ext uri="{02D57815-91ED-43cb-92C2-25804820EDAC}">
                        <c15:formulaRef>
                          <c15:sqref>'4 Wh'!$A$17</c15:sqref>
                        </c15:formulaRef>
                      </c:ext>
                    </c:extLst>
                    <c:strCache>
                      <c:ptCount val="1"/>
                      <c:pt idx="0">
                        <c:v>wh = 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6r2="http://schemas.microsoft.com/office/drawing/2015/06/chart">
                      <c:ext uri="{02D57815-91ED-43cb-92C2-25804820EDAC}">
                        <c15:formulaRef>
                          <c15:sqref>'4 Wh'!$B$17:$H$17</c15:sqref>
                        </c15:formulaRef>
                      </c:ext>
                    </c:extLst>
                    <c:numCache>
                      <c:formatCode>0.00</c:formatCode>
                      <c:ptCount val="7"/>
                      <c:pt idx="0">
                        <c:v>0.59964541561547002</c:v>
                      </c:pt>
                      <c:pt idx="1">
                        <c:v>13.743053948079901</c:v>
                      </c:pt>
                      <c:pt idx="2">
                        <c:v>0.42196109952684102</c:v>
                      </c:pt>
                      <c:pt idx="3">
                        <c:v>0.13837358417426601</c:v>
                      </c:pt>
                      <c:pt idx="4">
                        <c:v>0.51413502142785605</c:v>
                      </c:pt>
                      <c:pt idx="5">
                        <c:v>0.51145396293203504</c:v>
                      </c:pt>
                      <c:pt idx="6">
                        <c:v>0.52847970600860505</c:v>
                      </c:pt>
                    </c:numCache>
                  </c:numRef>
                </c:val>
                <c:extLst xmlns:c16r2="http://schemas.microsoft.com/office/drawing/2015/06/chart">
                  <c:ext xmlns:c16="http://schemas.microsoft.com/office/drawing/2014/chart" uri="{C3380CC4-5D6E-409C-BE32-E72D297353CC}">
                    <c16:uniqueId val="{00000001-3CB8-470E-96A3-37AB6FCD1856}"/>
                  </c:ext>
                </c:extLst>
              </c15:ser>
            </c15:filteredBarSeries>
            <c15:filteredBarSeries>
              <c15:ser>
                <c:idx val="2"/>
                <c:order val="2"/>
                <c:tx>
                  <c:strRef>
                    <c:extLst xmlns:c15="http://schemas.microsoft.com/office/drawing/2012/chart" xmlns:c16r2="http://schemas.microsoft.com/office/drawing/2015/06/chart">
                      <c:ext xmlns:c15="http://schemas.microsoft.com/office/drawing/2012/chart" uri="{02D57815-91ED-43cb-92C2-25804820EDAC}">
                        <c15:formulaRef>
                          <c15:sqref>'4 Wh'!$A$18</c15:sqref>
                        </c15:formulaRef>
                      </c:ext>
                    </c:extLst>
                    <c:strCache>
                      <c:ptCount val="1"/>
                      <c:pt idx="0">
                        <c:v>wh = 0.5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Wh'!$B$18:$H$18</c15:sqref>
                        </c15:formulaRef>
                      </c:ext>
                    </c:extLst>
                    <c:numCache>
                      <c:formatCode>0.00</c:formatCode>
                      <c:ptCount val="7"/>
                      <c:pt idx="0">
                        <c:v>-0.175029015037278</c:v>
                      </c:pt>
                      <c:pt idx="1">
                        <c:v>13.375202492051301</c:v>
                      </c:pt>
                      <c:pt idx="2">
                        <c:v>-0.613002849974563</c:v>
                      </c:pt>
                      <c:pt idx="3">
                        <c:v>-0.35918186408649799</c:v>
                      </c:pt>
                      <c:pt idx="4">
                        <c:v>-0.26230314626258799</c:v>
                      </c:pt>
                      <c:pt idx="5">
                        <c:v>-0.26230314626258799</c:v>
                      </c:pt>
                      <c:pt idx="6">
                        <c:v>-0.37557791860094503</c:v>
                      </c:pt>
                    </c:numCache>
                  </c:numRef>
                </c:val>
                <c:extLst xmlns:c15="http://schemas.microsoft.com/office/drawing/2012/chart" xmlns:c16r2="http://schemas.microsoft.com/office/drawing/2015/06/chart">
                  <c:ext xmlns:c16="http://schemas.microsoft.com/office/drawing/2014/chart" uri="{C3380CC4-5D6E-409C-BE32-E72D297353CC}">
                    <c16:uniqueId val="{00000002-3CB8-470E-96A3-37AB6FCD1856}"/>
                  </c:ext>
                </c:extLst>
              </c15:ser>
            </c15:filteredBarSeries>
            <c15:filteredBarSeries>
              <c15:ser>
                <c:idx val="3"/>
                <c:order val="3"/>
                <c:tx>
                  <c:strRef>
                    <c:extLst xmlns:c15="http://schemas.microsoft.com/office/drawing/2012/chart" xmlns:c16r2="http://schemas.microsoft.com/office/drawing/2015/06/chart">
                      <c:ext xmlns:c15="http://schemas.microsoft.com/office/drawing/2012/chart" uri="{02D57815-91ED-43cb-92C2-25804820EDAC}">
                        <c15:formulaRef>
                          <c15:sqref>'4 Wh'!$A$19</c15:sqref>
                        </c15:formulaRef>
                      </c:ext>
                    </c:extLst>
                    <c:strCache>
                      <c:ptCount val="1"/>
                      <c:pt idx="0">
                        <c:v>wh = 0.75</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5="http://schemas.microsoft.com/office/drawing/2012/chart" xmlns:c16r2="http://schemas.microsoft.com/office/drawing/2015/06/chart">
                      <c:ext xmlns:c15="http://schemas.microsoft.com/office/drawing/2012/chart" uri="{02D57815-91ED-43cb-92C2-25804820EDAC}">
                        <c15:formulaRef>
                          <c15:sqref>'4 Wh'!$B$15:$H$15</c15:sqref>
                        </c15:formulaRef>
                      </c:ext>
                    </c:extLst>
                    <c:strCache>
                      <c:ptCount val="7"/>
                      <c:pt idx="0">
                        <c:v>Draft</c:v>
                      </c:pt>
                      <c:pt idx="1">
                        <c:v>BPM</c:v>
                      </c:pt>
                      <c:pt idx="2">
                        <c:v>TTC</c:v>
                      </c:pt>
                      <c:pt idx="3">
                        <c:v>SP</c:v>
                      </c:pt>
                      <c:pt idx="4">
                        <c:v>TTC-O</c:v>
                      </c:pt>
                      <c:pt idx="5">
                        <c:v>SP-O</c:v>
                      </c:pt>
                      <c:pt idx="6">
                        <c:v>OC</c:v>
                      </c:pt>
                    </c:strCache>
                  </c:strRef>
                </c:cat>
                <c:val>
                  <c:numRef>
                    <c:extLst xmlns:c15="http://schemas.microsoft.com/office/drawing/2012/chart" xmlns:c16r2="http://schemas.microsoft.com/office/drawing/2015/06/chart">
                      <c:ext xmlns:c15="http://schemas.microsoft.com/office/drawing/2012/chart" uri="{02D57815-91ED-43cb-92C2-25804820EDAC}">
                        <c15:formulaRef>
                          <c15:sqref>'4 Wh'!$B$19:$H$19</c15:sqref>
                        </c15:formulaRef>
                      </c:ext>
                    </c:extLst>
                    <c:numCache>
                      <c:formatCode>0.00</c:formatCode>
                      <c:ptCount val="7"/>
                      <c:pt idx="0">
                        <c:v>-0.47485861223937198</c:v>
                      </c:pt>
                      <c:pt idx="1">
                        <c:v>2.1254083530441599</c:v>
                      </c:pt>
                      <c:pt idx="2">
                        <c:v>-1.07761960285805</c:v>
                      </c:pt>
                      <c:pt idx="3">
                        <c:v>-0.33657571135764902</c:v>
                      </c:pt>
                      <c:pt idx="4">
                        <c:v>-0.83751775760909097</c:v>
                      </c:pt>
                      <c:pt idx="5">
                        <c:v>-0.83751775760909097</c:v>
                      </c:pt>
                      <c:pt idx="6">
                        <c:v>-1.5299722565178799</c:v>
                      </c:pt>
                    </c:numCache>
                  </c:numRef>
                </c:val>
                <c:extLst xmlns:c15="http://schemas.microsoft.com/office/drawing/2012/chart" xmlns:c16r2="http://schemas.microsoft.com/office/drawing/2015/06/chart">
                  <c:ext xmlns:c16="http://schemas.microsoft.com/office/drawing/2014/chart" uri="{C3380CC4-5D6E-409C-BE32-E72D297353CC}">
                    <c16:uniqueId val="{00000003-3CB8-470E-96A3-37AB6FCD1856}"/>
                  </c:ext>
                </c:extLst>
              </c15:ser>
            </c15:filteredBarSeries>
          </c:ext>
        </c:extLst>
      </c:barChart>
      <c:catAx>
        <c:axId val="5382780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8472"/>
        <c:crossesAt val="-1.6"/>
        <c:auto val="1"/>
        <c:lblAlgn val="ctr"/>
        <c:lblOffset val="100"/>
        <c:noMultiLvlLbl val="0"/>
      </c:catAx>
      <c:valAx>
        <c:axId val="538278472"/>
        <c:scaling>
          <c:orientation val="minMax"/>
          <c:max val="14"/>
          <c:min val="-2"/>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278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8F2A87-5D97-46F8-9C88-2774763E59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2222</Words>
  <Characters>12667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Connecticut - School of Business</Company>
  <LinksUpToDate>false</LinksUpToDate>
  <CharactersWithSpaces>14860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Hoda Atef Yekta</dc:creator>
  <cp:lastModifiedBy>Bob Day</cp:lastModifiedBy>
  <cp:revision>4</cp:revision>
  <cp:lastPrinted>2015-09-11T16:04:00Z</cp:lastPrinted>
  <dcterms:created xsi:type="dcterms:W3CDTF">2018-08-02T18:28:00Z</dcterms:created>
  <dcterms:modified xsi:type="dcterms:W3CDTF">2018-08-02T18:41:00Z</dcterms:modified>
</cp:coreProperties>
</file>